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2003 29 vom 18. August 2003</w:t>
      </w:r>
    </w:p>
    <w:p>
      <w:r>
        <w:t>GR Gerichte, 2003-08-18, DE</w:t>
      </w:r>
    </w:p>
    <w:p>
      <w:r>
        <w:rPr>
          <w:b/>
        </w:rPr>
        <w:t xml:space="preserve">Quelle: </w:t>
      </w:r>
      <w:r>
        <w:t>https://mcp.opencaselaw.ch/entscheid/gr_gerichte_BK_2003_29</w:t>
      </w:r>
    </w:p>
    <w:p>
      <w:r>
        <w:t>FR: GR_GERICHTE BK 2003 29 du 18 août 2003</w:t>
      </w:r>
    </w:p>
    <w:p>
      <w:r>
        <w:t>IT: GR_GERICHTE BK 2003 29 del 18 agosto 2003</w:t>
      </w:r>
    </w:p>
    <w:p>
      <w:pPr>
        <w:pStyle w:val="Heading2"/>
      </w:pPr>
      <w:r>
        <w:t>Regeste</w:t>
      </w:r>
    </w:p>
    <w:p>
      <w:r>
        <w:t>Beweisergänzung | StA Beschwerdeentscheid</w:t>
      </w:r>
    </w:p>
    <w:p>
      <w:pPr>
        <w:pStyle w:val="Heading2"/>
      </w:pPr>
      <w:r>
        <w:t>Erwägungen</w:t>
      </w:r>
    </w:p>
    <w:p>
      <w:r>
        <w:rPr>
          <w:b/>
        </w:rPr>
        <w:t>E. 1</w:t>
      </w:r>
    </w:p>
    <w:p>
      <w:r>
        <w:t>a) Gemäss Art. 138 des Gesetzes über die Strafrechtspflege (StPO; BR 350.000) kann gegen Verfügungen und Beschwerdeentscheide des Staats- anwaltes wegen Rechtswidrigkeit oder Unangemessenheit bei der Beschwer- dekammer des Kantonsgericht Beschwerde geführt werden. Zur Beschwerde ist berechtigt, wer durch den angefochtenen Entscheid berührt ist und ein schutzwürdiges Interesse an seiner Aufhebung oder Änderung geltend macht (Art. 139 Abs. 1 StPO). Die Beschwerde ist innert zwanzig Tagen, seit der Be- troffene vom angefochtenen Entscheid Kenntnis erhalten hat, schriftlich einzu- reichen (Art. 139 Abs. 2 StPO). b) Der Beschwerdeführer hat den Beschwerdeentscheid des Staats- anwaltes vom 1. Juli 2003 angefochten. Als Angeschuldigter im Untersu- chungsverfahren sowie als direkt Betroffener infolge der Abweisung seiner An- träge im vorinstanzlichen Beschwerdeverfahren ist er durch den angefochtenen Entscheid berührt und hat ein schutzwürdiges Interesse an dessen Aufhebung oder Änderung. Somit ist auf die frist- und formgerecht eingereichte Beschwerde einzutreten.</w:t>
      </w:r>
    </w:p>
    <w:p>
      <w:r>
        <w:rPr>
          <w:b/>
        </w:rPr>
        <w:t>E. 5</w:t>
      </w:r>
    </w:p>
    <w:p>
      <w:r>
        <w:t>2. Gemäss Art. 75 Abs. 1 StPO hat die Strafuntersuchung den Zweck, den Tatbestand in objektiver und subjektiver Hinsicht abzuklären, den Täter zu ermitteln sowie dessen Persönlichkeit und Verhältnisse zu erforschen. Dabei sind alle wesentlichen Beweise zu erheben und sowohl die für die Schuld als für die Unschuld des Angeschuldigten in Betracht fallenden Feststellungen zu machen. Die Untersuchung ist aber nur soweit zu führen, dass entweder Anklage erhoben oder die Untersuchung eingestellt werden kann, und Beweismittel sollen nur bis dahin gesammelt werden, als es zur Durchführung der Hauptverhandlung notwendig erscheint (Art. 75 Abs. 2 und 3 StPO). Beweise, die frist- und formgerecht angeboten werden, sind abzunehmen, soweit sie sich auf für die Entscheidung erhebliche, feststellungsbedürftige Tatsachen beziehen und sie nicht von vorne herein als ungeeignet erscheinen, die Kenntnis der betreffenden Tatsachen zu vermitteln. Das gilt vor allem für den Anspruch des Angeschuldigten, den Entlastungsbeweis zu führen und dabei die aus seiner Sicht relevanten Beweismittel nennen zu können, was indessen nicht bedeutet, dass sämtliche angebotenen Beweismittel erhoben werden müssten. Der An- spruch beschränkt sich vielmehr auf solche Beweise, die für den Nachweis der Unschuld wesentlich und brauchbar erscheinen. Dazu müssen mindestens glaubhafte, konkrete Anhaltspunkte für Tatsachen und Umstände vorliegen, die geeignet sind, zur Entlastung des Angeschuldigten beizutragen (Padrutt, Kom- mentar zur Strafprozessordnung des Kantons Graubünden, Chur 1996, S. 110 f., mit zahlreichen Hinweisen, unter anderem auf BGE 96 I 620 und BGE 101a 170). In diesem Sinne kann der Untersuchungsrichter einen Beweisantrag des Angeschuldigten gemäss Art. 97 Abs. 2 StPO ablehnen, wenn die Ergänzungs- untersuchung nicht sachdienlich, wenn das Beweismittel untauglich, unerheblich oder für die Beurteilung der Schuld- bzw. Straffrage nicht geeignet ist oder wenn der Aufwand unverhältnismässig ist (Padrutt, a.a.O., S. 255 f., mit zahlreichen Hinweisen). 3. Für den vorliegenden Fall ist entscheidend, ob eine Einvernahme von C. als Zeugen geeignet und brauchbar erscheint, zur Entlastung des Angeschuldigten bzw. Beschwerdeführers etwas beizutragen und ob sich der diesbezügliche Aufwand nicht als unverhältnismässig anmuten würde. Da der Vorfall bereits knapp ein Jahr zurückliegt, erscheint es schon aufgrund dieser Zeitspanne fraglich, ob der Zeuge hinsichtlich seiner Wahrnehmungen noch zuverlässige Angaben über die betreffenden Ereignisse machen kann, vor allem in Bezug auf den genauen Abstand zwischen den Fahrzeugen der Polizei und des Beschwerdeführers. Ausserdem fuhr der Zeuge im entsprechenden Zeitraum</w:t>
      </w:r>
    </w:p>
    <w:p>
      <w:r>
        <w:rPr>
          <w:b/>
        </w:rPr>
        <w:t>E. 6</w:t>
      </w:r>
    </w:p>
    <w:p>
      <w:r>
        <w:t>hinter dem Angeschuldigten. Wird davon ausgegangen, dass der Zeuge einen angemessenen Sicherheitsabstand zu dem vor ihm fahrenden Wagen des Angeschuldigten einhielt, so dürfte es in Anbetracht dieser Distanz äusserst schwierig sein, zuverlässige Angaben über den damals herrschenden Abstand zwischen den Fahrzeugen des Angeschuldigten und der Polizei zu machen. Dies würde jedenfalls nur auf mit entsprechend subjektiver Fehlerhaftigkeit behafteten Schätzungen beruhen. Die Einvernahme von C. als Zeugen ist daher nicht geeignet und brauchbar, neue entscheidrelevante Erkenntnisse zu gewinnen. Ausserdem würde eine Zeugeneinvernahme im südamerikanischen Peru, dem Aufenthaltsort von C., auf dem Rechtshilfeweg einen unverhältnismässig grossen Aufwand darstellen. Die Ablehnung des Beweisergänzungsantrages des Beschwerdeführers, es sei C. als Zeuge einzuvernehmen, ist deshalb zu Recht und folglich nicht unter Missbrauch des Ermessens erfolgt. 4. Der Beschwerdeführer rügt die von den Polizeibeamten zur Be- weiserhebung angewandte Messmethode des vorgelegenen Abstandes zwi- schen den betreffenden Fahrzeugen, nach welcher der Fahrer des Polizeifahr- zeuges im Nachhinein auf dem Pannenstreifen den Wagen des Beschwerde- führers so weit auffahren liess, bis der während des Vorfalls beobachtete tat- sächliche Abstand nach der Vorstellung des durch den Rückspiegel blickenden Polizeibeamten wieder hergestellt war. Bei der Frage, ob diese Messmethode haltbar ist und die diesbezüglichen Aussagen der beiden als Zeugen einver- nommenen Polizeibeamten für eine Belastung des Beschwerdeführers ausrei- chend sind, handelt es sich jedoch um eine solche der Beweiswürdigung, deren Beurteilung nicht der Untersuchungsbehörde, sondern ausschliesslich dem zu- ständigen Sachrichter obliegt. 5. Im Resultat ist somit festzuhalten, dass die Abweisung des Beweis- ergänzungsantrages durch das Untersuchungsrichteramt und die diesbezügliche Abweisung der Beschwerde durch die Staatsanwaltschaft zu Recht erfolgt ist. Die vorliegende Beschwerde ist daher abzuweisen. Bei diesem Ausgang des Verfahrens gehen die Kosten des Beschwerdeverfahrens zu Lasten des Angeschuldigten (Art. 160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