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A 2016 27 vom 9. September 2016</w:t>
      </w:r>
    </w:p>
    <w:p>
      <w:r>
        <w:t>GR Gerichte, 2016-09-09, DE</w:t>
      </w:r>
    </w:p>
    <w:p>
      <w:r>
        <w:rPr>
          <w:b/>
        </w:rPr>
        <w:t xml:space="preserve">Quelle: </w:t>
      </w:r>
      <w:r>
        <w:t>https://mcp.opencaselaw.ch/entscheid/gr_gerichte_A_2016_27</w:t>
      </w:r>
    </w:p>
    <w:p>
      <w:r>
        <w:t>FR: GR_GERICHTE A 2016 27 du 9 septembre 2016</w:t>
      </w:r>
    </w:p>
    <w:p>
      <w:r>
        <w:t>IT: GR_GERICHTE A 2016 27 del 9 settembre 2016</w:t>
      </w:r>
    </w:p>
    <w:p>
      <w:pPr>
        <w:pStyle w:val="Heading2"/>
      </w:pPr>
      <w:r>
        <w:t>Regeste</w:t>
      </w:r>
    </w:p>
    <w:p>
      <w:r>
        <w:t>Einkommenssteuer | Beschwerde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Einzelrichter Racioppi und von Büren als Aktuar ad hoc URTEIL vom 9. September 2016 in der verwaltungsrechtlichen Streitsache A._____ und B._____, vertreten durch einen Treuhänder, Beschwerdeführer gegen Steuerverwaltung des Kantons Graubünden, Gemeinde X._____, Eidgenössische Steuerverwaltung, Beschwerdegegnerinnen betreffend Einkommenssteuer</w:t>
      </w:r>
    </w:p>
    <w:p>
      <w:r>
        <w:t>- 2 - 1. Im Jahr 2014 entschloss sich B._____, eine Ausbildung als Naturheilprak- tikerin zu beginnen. In der Steuerklärung 2014 machten A._____ und B._____ u.a. effektive Berufsauslagen (Weiterbildungs- bzw. Umschu- lungskosten) für den Schulbesuch von B._____ zwecks Ausbildung zur Naturheilpraktikerin in der Höhe von Fr. 12‘711.-- geltend, welche aber durch die kantonale Steuerverwaltung in den definitiven Veranlagungsver- fügungen für die Bundes-, Kantons- und Gemeindesteuern 2014 vom</w:t>
      </w:r>
    </w:p>
    <w:p>
      <w:r>
        <w:rPr>
          <w:b/>
        </w:rPr>
        <w:t>E. 6</w:t>
      </w:r>
    </w:p>
    <w:p>
      <w:r>
        <w:t>Bei diesem Ausgang des Verfahrens sind die Gerichtskosten gestützt auf Art. 73 Abs. 1 VRG den unterliegenden Steuerpflichtigen zu überbinden. Den Beschwerdegegnerinnen steht keine aussergerichtliche Entschädi- gung zu (Art. 78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