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37 vom 14. September 2015</w:t>
      </w:r>
    </w:p>
    <w:p>
      <w:r>
        <w:t>GR Gerichte, 2015-09-14, DE</w:t>
      </w:r>
    </w:p>
    <w:p>
      <w:r>
        <w:rPr>
          <w:b/>
        </w:rPr>
        <w:t xml:space="preserve">Quelle: </w:t>
      </w:r>
      <w:r>
        <w:t>https://mcp.opencaselaw.ch/entscheid/gr_gerichte_A_2015_37</w:t>
      </w:r>
    </w:p>
    <w:p>
      <w:r>
        <w:t>FR: GR_GERICHTE A 2015 37 du 14 septembre 2015</w:t>
      </w:r>
    </w:p>
    <w:p>
      <w:r>
        <w:t>IT: GR_GERICHTE A 2015 37 del 14 settembre 2015</w:t>
      </w:r>
    </w:p>
    <w:p>
      <w:pPr>
        <w:pStyle w:val="Heading2"/>
      </w:pPr>
      <w:r>
        <w:t>Regeste</w:t>
      </w:r>
    </w:p>
    <w:p>
      <w:r>
        <w:t>Gästetaxe, Beherbergungsabgabe, Tourismusförderungsabgabe</w:t>
      </w:r>
    </w:p>
    <w:p>
      <w:pPr>
        <w:pStyle w:val="Heading2"/>
      </w:pPr>
      <w:r>
        <w:t>Erwägungen</w:t>
      </w:r>
    </w:p>
    <w:p>
      <w:r>
        <w:rPr>
          <w:b/>
        </w:rPr>
        <w:t>E. 4</w:t>
      </w:r>
    </w:p>
    <w:p>
      <w:r>
        <w:t>Infolge Nichtigkeit des angefochtenen Einspracheentscheids bräuchte vorliegend auf die materiellen Ausführungen der Parteien in ihren Rechts- schriften nicht weiter eingegangen zu werden. Im Hinblick auf allfällige weitere Verfahren rechtfertigt es sich im Sinne der Verfahrensökonomie indes, dennoch auf die materiellen Ausführungen der Parteien einzuge- hen. a) Kurtaxen im Sinne von Art. 2 ff. KTAG sind Zwangsabgaben, die lediglich einer bestimmten Gruppe von Pflichtigen auferlegt werden, weil diese Personen zu bestimmten, im Zusammenhang mit dem Tourismus stehen- den Aufwendungen des Gemeinwesens eine nähere Beziehung aufwei- sen als die Gesamtheit der Steuerpflichtigen. Die Kurtaxen werden zwecks Förderung des Tourismus eingezogen (vgl. Art. 1 Abs. 1 KTAG) und sind gegenstandslos geschuldet. Kurtaxen werden von der Lehre und Rechtsprechung als Kostenanlastungssteuern qualifiziert. Unter diesen Begriff fallen nach heutiger Terminologie Sondersteuern, welche einem bestimmten Kreis von Steuerpflichtigen auferlegt werden, weil diese Per- sonen als Verursacher eine nähere Beziehung zu bestimmten Aufwen- dungen des Gemeinwesens haben als die Gesamtheit der Steuerpflichti- gen (REICH, Steuerrecht, 2. Aufl., Zürich/Basel/Genf 2012, § 2 Rz. 7). Nach der bundesgerichtlichen Rechtsprechung stehen Kostenanlastungs- steuern insbesondere in einem Spannungsverhältnis zum Grundsatz der</w:t>
      </w:r>
    </w:p>
    <w:p>
      <w:r>
        <w:t>- 8 -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Abs. 1 der Bundesverfassung der Schweizerischen Eidgenossenschaft (BV; SR 101) enthaltene Gleich- heitsgebot (vgl. BGE 128 I 155 E.2.2). Kostenanlastungssteuern haben eine gewisse Verwandtschaft zur Vorzugslast (Beiträgen), doch unter- scheiden sie sich von dieser dadurch, dass kein individueller, dem einzel- nen Pflichtigen zurechenbarer Sondervorteil vorliegen muss, der die Er- hebung der Abgabe rechtfertigt. Es genügt, dass die betreffenden Auf- 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gegenleistungslos, d.h. unabhängig vom konkreten Nutzen oder vom konkreten Verursacheranteil des Pflichtigen, erhoben wird - eine Steuer dar (BGE 124 I 289 E.3b; Ur- teil des Bundesgerichtes 2A.62/2005 vom 22. März 2006 E.4.2 mit Hin- weisen). Als Kostenanlastungssteuer eingestuft werden in der Doktrin nebst Tourismusförderungsabgaben etwa Kurtaxen, Motorfahrzeugsteu- ern, Schiffssteuern, Hundesteuern, Treibstoffzuschläge sowie Feuer- schutzabgaben, wobei die betreffenden Einnahmen auch meist einer ent- sprechenden gesetzlichen Zweckbindung unterworfen sind (vgl. MARAN- TELLI, Grundprobleme des schweizerischen Tourismusabgaberechts, Bern 1991, S. 25; BGE 124 I 289 E.3b; PVG 2003 Nr. 32 E.5a). b) Das in Art. 127 Abs. 1 BV und in Art. 164 Abs. 1 lit. d BV ausdrücklich verankerte und inhaltlich umschriebene Legalitätsprinzip ist einer der wichtigsten Grundsätze im Steuer- und Abgaberecht. Es gilt sowohl im Steuerrecht als auch im Kausalabgaberecht (vgl. BGE 135 I 130 E.7.2,</w:t>
      </w:r>
    </w:p>
    <w:p>
      <w:r>
        <w:t>- 9 - 132 II 371 E.2.1; VALLENDER/WIEDERKEHR, in: EHRENZELLER/SCHINDLER/ SCHWEIZER/VALLENDER [Hrsg.], Die Schweizerische Bundesverfassung, St. Galler Kommentar, 3. Aufl., Zürich/St. Gallen 2014, N.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 grad aufweist. Es sind diejenigen Elemente des Steuerverhältnisses zu regeln, die für die betroffenen Bürgerinnen und Bürger das Ausmass, den Umfang und die Grenzen der Steuerpflicht festlegen. Dazu gehören zu- mindest der Kreis der Abgabepflichtigen, der Gegenstand und die Be- messungsgrundlage (BGE 135 I 130 E.7.2, 132 I 157 E.2.2, 131 II 562 E.3.1). Die Festlegung dieser Elemente des Abgaberechtsverhältnisses darf der Gesetzgeber nicht an den Verordnungsgeber delegieren (BGE 131 II 271 E.6.1; VALLENDER/WIEDERKEHR, a.a.O., N. 7 zu Art. 127 BV). c) Die von der Beschwerdegegnerin bei der Beschwerdeführerin erhobene Kurtaxe ist nach dem vorstehend Gesagten in Übereinstimmung mit der Lehre und Rechtsprechung als Kostenanlastungssteuer zu qualifizieren. Sie findet ihre gesetzliche Grundlage in Art. 22 GKStG sowie im KTAG, welches von der Gemeindeversammlung X._____ beschlossen und so- dann von der Regierung des Kantons Graubünden mit Beschluss Nr. 948 vom 8. Oktober 2013 genehmigt wurde. Steuerpflichtig ist gemäss Art. 2 Abs. 1 KTAG jeder in der Gemeinde X._____ übernachtende Gast (vgl. auch Art. 22 Abs. 2 GKStG). Gast im Sinne dieses Gesetzes ist jede natürliche Person, welche − ohne in der Gemeinde X._____ steuerrechtli- chen Wohnsitz zu begründen, − die Möglichkeit hat, das touristische An- gebot zu benützen (Art. 2 Abs. 2 KTAG). Grundeigentum in der Gemeinde begründet wohl eine Steuerpflicht, nicht aber eine Befreiung von der Kur- taxe (Art. 2 Abs. 3 KTAG). Gemäss Art. 5 KTAG wird die Kurtaxe pro Lo- giernacht des Gastes im ganzen Gemeindegebiet erhoben (vgl. auch</w:t>
      </w:r>
    </w:p>
    <w:p>
      <w:r>
        <w:t>- 10 - Art. 22 Abs. 2 GKStG). Die Bemessung der Kurtaxe richtet sich schliess- lich nach Art. 6 KTAG in Verbindung mit dem Anhang zum KTAG. d) Vorliegend stellte die Beschwerdegegnerin den Beschwerdeführern für die Periode vom 1. Mai 2015 bis 30. April 2016 am 1. Juni 2015 eine Rechnung für die Kurtaxenpauschale für die Wohnung 1 (StWE 50387) in der Höhe von Fr. 507.-- zu. Dagegen erhoben die Beschwerdeführer zunächst Einsprache an die Gemeinde und danach Beschwerde an das Verwaltungsgericht mit der Begründung, die beiden Wohnungen stünden leer und seien zum Verkauf ausgeschrieben, weshalb sie diese gar nicht nützen könnten. Dies wird von der Beschwerdegegnerin nicht bestritten und dürfte den Tatsachen entsprechen. Zumindest sind zwei 3.5- Zimmerwohnungen in der betreffenden Liegenschaft C._____ im Internet inseriert. Aufgrund der im Internet aufgeschalteten Bilder ist zudem zu er- kennen, dass die Wohnungen leer stehen (bzw. zumindest im Aufnahme- zeitpunkt leer standen). Das Bundesgericht erachtet es zwar grundsätzlich als zulässig, dass von Ferienhauseigentümern eine pauschale Kurtaxe in Form einer Kostenan- lastungssteuer erhoben wird. Im Urteil 2P.14/2006 vom 26. Mai 2006 führ- te das Bundesgericht hierzu was folgt aus (vgl. die dortigen Erwägungen 2.2 und 4.1): "Voraussetzung für die Zulässigkeit einer [Kostenanlastungssteuer] ist, dass sach- lich haltbare Gründe bestehen, die betreffenden staatlichen Aufwendungen der er- fassten Personengruppe anzulasten (BGE 124 I 289 E. 3b S. 292); die Kostenan- lastung an den erfassten Personenkreis muss nach einem vernünftigen Prinzip und unter Beachtung des Gebots der Verhältnismässigkeit und der Rechtsgleichheit er- folgen. Anders als bei Vorzugslasten richtet sich die Bemessung nicht nach konkret nachgewiesenen Vorteilen, sondern abstrakt aufgrund schematisch festgelegter Kriterien (vgl. Marantelli, a.a.O., S. 24)." "Gemäss dem angefochtenen Entscheid wird bei Eigentümern und Dauermietern vermutet, dass sie oder ihre Angehörigen sich gelegentlich in ihrer Ferienwohnung aufhalten und so kurtaxpflichtig werden. Die erhobene Pauschale beruht alsdann auf der Fiktion, dass diese Aufenthalte eine bestimmte durchschnittliche Dauer ha- ben. Weshalb die entsprechende Auslegung des Adelbodner Kurtaxenreglements</w:t>
      </w:r>
    </w:p>
    <w:p>
      <w:r>
        <w:t>- 11 - gegen das Willkürverbot (Art. 9 BV; vgl. BGE 127 I 60 E. 5a S. 70) verstossen soll, ist weder ersichtlich noch rechtsgenüglich dargetan. Die gesetzliche Vermutung führt auch nicht etwa zu einer unzulässigen Beweislastumkehr: Das bereits des- halb nicht, weil es sich bei der Kurtaxe um eine Kostenanlastungssteuer und nicht um eine Vorzugslast bzw. Kausalabgabe handelt, so dass im Einzelfall gar kein konkreter Vorteil des Pflichtigen nachgewiesen zu werden braucht (vgl. E. 2.2). Rein von der Konzeption der Abgabe her wäre daher nicht erforderlich, dass der Pflichtige tatsächlich von seiner Ferienwohnung Gebrauch macht. Es würde an sich schon genügen, dass er als Eigentümer oder Dauermieter zu jenem Perso- nenkreis gehört, welcher von den mit der Abgabe zu finanzierenden Aufwendun- gen des Gemeinwesens - der touristischen Infrastruktur - in der Regel profitiert." Diese Ausführungen des Bundesgerichtes vermögen nichts an der Tatsa- che zu ändern, dass ein Steuerrechtsverhältnis vorliegen muss, um von einer bestimmten Person eine Steuer erheben zu können. Im Steuer- rechtsverhältnis muss dem Gemeinwesen eine natürliche oder juristische Person gegenüberstehen. Bei dieser Person handelt es sich um das Steuersubjekt (vgl. MÄUSLI-ALLENSPACH/OERTLI, Das Schweizerische Steuerrecht − ein Grundriss mit Beispielen, 8. Aufl., Muri b. Bern 2015, S. 65 f.). Im KTAG wird das Steuersubjekt der Kurtaxe in Art. 2 Abs. 1 als "jeder in der Gemeinde X._____ übernachtende Gast" definiert. Die Be- schwerdeführer führen nun sinngemäss aus, dass sie ihre Wohnungen nicht nutzen und auch nicht darin übernachten könnten, weil diese zum Verkauf stünden und daher unmöbliert seien. Dieser Auffassung vermag sich das streitberufene Gericht anzuschliessen. Wie gesehen knüpft das KTAG für die Abgabepflicht des Ferienwohnungsbesitzers an der Über- nachtung in der Gemeinde X._____ an (vgl. Art. 2 Abs. 1 KTAG). Vor die- sem Hintergrund kann es aber nicht angehen, dass in Fällen wie dem vor- liegenden, wo kein in der Gemeinde X._____ übernachtender Gast und damit auch kein Steuersubjekt vorhanden ist, eine Kurtaxe erhoben wird. Es gilt zwar die natürliche Vermutung, dass in einem Ferienhaus über- nachtet werden kann und der auswärtige Eigentümer seine Ferienwoh- nung tatsächlich nutzt. Denn es erscheint unwahrscheinlich, dass ein Ei- gentümer zwar die mit der Ferienwohnung verbundenen Kosten trägt, aber nie in der Ferienwohnung übernachtet und diese auch nicht irgend- welchen Angehörigen oder Dritten zur Benutzung und Übernachtung</w:t>
      </w:r>
    </w:p>
    <w:p>
      <w:r>
        <w:t>- 12 - überlässt. Gestützt auf diese natürliche Vermutung kann die Beschwer- degegnerin die Kurtaxenpauschale den Eigentümern von in der Gemein- de gelegenen Ferienwohnungen denn auch ohne Vornahme weiterer Ab- klärungen in Rechnung stellen. Dem Eigentümer muss allerdings die Möglichkeit des Gegenbeweises offenstehen, indem er den Nachweis er- bringt, dass kein Steuersubjekt, mithin kein in seiner Wohnung übernach- tender Gast, vorhanden ist. Wenn also keine Übernachtungsmöglichkeit besteht, weil eine Wohnung beispielsweise − wie im vorliegenden Fall − unmöbliert ist, wird die natürliche Vermutung, dass in einem Ferienhaus übernachtet werden kann und von dieser Möglichkeit auch Gebrauch ge- macht wird, umgestossen, es sei denn, es würden andere Indizien vorlie- gen, welche dennoch für eine Übernachtungsmöglichkeit (beispielsweise Campingmatratzen in leerstehenden Wohnungen und dergl.) sprächen. Diesen Gegenbeweis haben die Beschwerdeführer vorliegend mit dem Nachweis, dass ihre beiden Wohnungen leer stehen und zum Verkauf ausgeschrieben sind und dementsprechend nicht zu Übernachtungszwe- cken genutzt werden können, erbracht. Folglich durfte aber die Be- schwerdegegnerin die Kurtaxenpauschale bei den Beschwerdeführern nicht in Rechnung stellen. Zum selbigen Ergebnis gelangt man, wenn man Erwägung 3 des Urteils des Verwaltungsgerichtes des Kantons Graubünden A 08 21 vom 17. Juni 2008 auf den vorliegenden Fall an- wendete. In diesem Fall ging es um die Höhe der Pauschale, wobei auch dort der Gegenbeweis, dass das Haus bzw. die Wohnung tatsächlich von weniger als den vermuteten Personen genutzt wird, offenstand. Nach dem Gesagten wäre die Beschwerde − wenn auf diese hätte eingetreten werden können − gutzuheissen und der angefochtene Einspracheent- scheid aufzuheben.</w:t>
      </w:r>
    </w:p>
    <w:p>
      <w:r>
        <w:rPr>
          <w:b/>
        </w:rPr>
        <w:t>E. 5</w:t>
      </w:r>
    </w:p>
    <w:p>
      <w:r>
        <w:t>a) Zusammenfassen ergibt sich, dass auf die Beschwerde infolge Nichtigkeit des angefochtenen Einspracheentscheids vom 5., mitgeteilt am 10. Au- gust 2015, nicht einzutreten ist. Die Sache ist an die zuständige Veranla-</w:t>
      </w:r>
    </w:p>
    <w:p>
      <w:r>
        <w:t>- 13 - gungs- und Einsprachebehörde zurückzuweisen, damit diese das Ein- spracheverfahren im Sinne der vorstehenden Erwägungen (insbesondere unter Beachtung der materiellen Ausführungen unter Erwägung 4) weiter- führt und einen neuen Einspracheentscheid fällt. b) Tritt das Verwaltungsgericht auf eine Beschwerde nicht ein, auferlegt es den Beschwerdeführern als unterliegende Partei in der Regel die Ge- richtskosten (vgl. Art. 73 Abs. 1 VRG). Vorliegend rechtfertigt es sich al- lerdings, die Gerichtskosten der Beschwerdegegnerin zu überbinden. Denn der angefochtene Einspracheentscheid vom 5., mitgeteilt am</w:t>
      </w:r>
    </w:p>
    <w:p>
      <w:r>
        <w:rPr>
          <w:b/>
        </w:rPr>
        <w:t>E. 10</w:t>
      </w:r>
    </w:p>
    <w:p>
      <w:r>
        <w:t>August 2015, wurde zum einen im Widerspruch zu Art. 27 Abs. 4 zweiter Satz GKStG von einer sachlich und funktionell unzuständigen kommunalen Behörde erlassen. Zum anderen wäre die Beschwerde ma- teriell gutzuheissen und der angefochtene Einspracheentscheid aufzuhe- ben, wenn auf diese hätte eingetreten werden können. Vor diesem Hin- tergrund erscheint es ohne Weiteres angebracht, die Gerichtskosten der Beschwerdegegnerin aufzuerlegen. Eine aussergerichtliche Entschädi- gung steht den Beschwerdeführern nicht zu, da sie nicht anwaltlich vertre- 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