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2013 39 vom 3. Juni 2014</w:t>
      </w:r>
    </w:p>
    <w:p>
      <w:r>
        <w:t>GR Gerichte, 2014-06-03, DE</w:t>
      </w:r>
    </w:p>
    <w:p>
      <w:r>
        <w:rPr>
          <w:b/>
        </w:rPr>
        <w:t xml:space="preserve">Quelle: </w:t>
      </w:r>
      <w:r>
        <w:t>https://mcp.opencaselaw.ch/entscheid/gr_gerichte_A_2013_39</w:t>
      </w:r>
    </w:p>
    <w:p>
      <w:r>
        <w:t>FR: GR_GERICHTE A 2013 39 du 3 juin 2014</w:t>
      </w:r>
    </w:p>
    <w:p>
      <w:r>
        <w:t>IT: GR_GERICHTE A 2013 39 del 3 giugno 2014</w:t>
      </w:r>
    </w:p>
    <w:p>
      <w:pPr>
        <w:pStyle w:val="Heading2"/>
      </w:pPr>
      <w:r>
        <w:t>Regeste</w:t>
      </w:r>
    </w:p>
    <w:p>
      <w:r>
        <w:t>Beitragsverfahren (Einleitung) | Perimeter und übrige Beiträge</w:t>
      </w:r>
    </w:p>
    <w:p>
      <w:pPr>
        <w:pStyle w:val="Heading2"/>
      </w:pPr>
      <w:r>
        <w:t>Erwägungen</w:t>
      </w:r>
    </w:p>
    <w:p>
      <w:r>
        <w:rPr>
          <w:b/>
        </w:rPr>
        <w:t>E. 4</w:t>
      </w:r>
    </w:p>
    <w:p>
      <w:r>
        <w:t>In ihrer Replik führten die Beschwerdeführer erneut aus, auf ihre Haupt- anliegen, nämlich die klare Unterscheidung zwischen dem öffentlichen Auftrag der „Ver- und Entsorgungsleitungen“ und dem beitragspflichtigen Werk „Strassensanierung einschliesslich Strassenentwässerung“ sei die Gemeinde mit keinem Wort eingegangen. Es gehe darum, dass sämtliche Bauarbeiten für die Ver- und Entsorgungsleitungen bei den Kosten der Strassensanierung ausgeschieden und abgezogen würden. Aufgrund der im Rahmen des Beitragsverfahrens erfolgten unzulässigen Vermischung von zwei klar unterschiedlichen Bauvorhaben sei das Beitragsverfahren aufzuheben.</w:t>
      </w:r>
    </w:p>
    <w:p>
      <w:r>
        <w:rPr>
          <w:b/>
        </w:rPr>
        <w:t>E. 5</w:t>
      </w:r>
    </w:p>
    <w:p>
      <w:r>
        <w:t>Die Beschwerdegegnerin führte in ihrer Duplik aus, in ihren Beschlüssen in der Gemeindeversammlung vom 22. Juni 2012 sei klar zwischen den Baukosten gemäss Kostenschätzung von Fr. 350‘000.-- und den Kosten für die Ver- und Entsorgungsleitungen von Fr. 50‘000.-- unterschieden worden. Die genaue Aufschlüsselung bilde nicht Gegenstand des Einlei- tungsverfahrens, sondern sei der zweiten Phase des Beitragsverfahrens nach Art. 24 f. KRVO vorbehalten.</w:t>
      </w:r>
    </w:p>
    <w:p>
      <w:r>
        <w:rPr>
          <w:b/>
        </w:rPr>
        <w:t>E. 6</w:t>
      </w:r>
    </w:p>
    <w:p>
      <w:r>
        <w:t>Am 9. Dezember 2013 erfolgte die Beiladung der allenfalls durch die An- träge der Beschwerdeführer betroffenen weiteren Eigentümer. Die E._____ AG, die F._____, die J._____ AG und G._____ teilten mit Schreiben vom 14. Januar 2014 mit, dass die Sanierung Y._____ erst</w:t>
      </w:r>
    </w:p>
    <w:p>
      <w:r>
        <w:t>- 6 - nach ihren Grundstücken ab der EW-Verteilzentrale bis Y._____ 20 (1. Etappe) und Y._____ 40 (2. Etappe) beginne, weshalb sie sich nicht an den entsprechenden Kosten zu beteiligten hätten. Die H._____ AG beantragte mit Schreiben vom 15. Januar 2014 die Abweisung der Be- schwerden ohne Kostenbeteiligung ihrerseits. Die baulichen Verbesse- rungen der Skipiste seien im Bereich der Liegenschaft 21228 erfolgt, wo- bei lediglich Humus von der Baustelle bei der Strasse bezogen worden sei, was für deren Anwohner gar zu einer Minderung der Abfuhrkosten geführt habe. Es werde die Vereinbarung betreffend Skipiste mit den Ei- gentümern der Parzelle 21228 beigelegt. Auch liege die Skipiste in der Wintersportzone und habe durch die Strassensanierung keinen Vorteil er- halten.</w:t>
      </w:r>
    </w:p>
    <w:p>
      <w:r>
        <w:rPr>
          <w:b/>
        </w:rPr>
        <w:t>E. 7</w:t>
      </w:r>
    </w:p>
    <w:p>
      <w:r>
        <w:t>a) Schliesslich wenden die Beschwerdeführer hauptsächlich ein, dass die Beschwerdegegnerin ihnen in die für die Berechnung der mutmasslichen Werkkosten vorhandenen Offertakten keine Einsicht gewährt habe und dass für den Strassenbau und die Sanierung der Werkleitungen je nur ei- ne Offerte sowohl bau- als auch werkseits eingeholt worden sei. b) Dabei verkennen die Beschwerdeführer indes, dass die beiden Offerten für die Sanierung Y._____ mit Strassenentwässerung und die Werklei- tungssanierung vor allem dem Kreditbeschluss der Gemeindeversamm- lung vom 22. Juni 2012 dienten und nur indirekt dem vorliegend zur Dis- kussion stehenden Einleitungsbeschluss des Beitragsverfahrens. Denn</w:t>
      </w:r>
    </w:p>
    <w:p>
      <w:r>
        <w:t>- 21 - die ungefähren Kosten des öffentlichen Bauwerks werden den betroffe- nen Grundeigentümern in der ersten Phase des Beitragsverfahrens (= Einleitungsphase) − wenn überhaupt − nur orientierungshalber zur Kenntnis gebracht. Erst in einer zweiten, von der ersten klar zu unter- scheidenden Phase (= Phase des Kostenverteilers), erarbeitet die Ge- meinde schliesslich nach Eintritt der Rechtskraft des Einleitungsbeschlus- ses und Abnahme des Werkes den Kostenverteiler. Dieser wird sodann auch nicht aufgrund der eingeholten Offerten, sondern anhand der tatsächlichen Abschlussrechnungen der beteiligten Unternehmungen er- stellt. Vor diesem Hintergrund stand den Beschwerdeführern in der vorlie- gend zu beurteilenden Einleitungsphase einerseits aber gar kein direktes Einsichtsrecht in die Offerten zu. Anderseits werden die Beschwerdefüh- rer ein Einsichtsrecht bezüglich der tatsächlichen Abschlussrechnungen aber in der zweiten Phase haben, was ihnen anlässlich des Augenscheins vom 9. April 2014 von der Beschwerdegegnerin auch explizit zugesichert wurde. Überdies betrifft der Einwand der Beschwerdeführer bezüglich Ausscheidung innerhalb der Offerte der Baufirma zwischen Teil Strasse einschliesslich Strassenentwässerung und Teil Werkleitungen die erst in der zweiten Phase zur Diskussion stehende Baumeisterrechnung. Somit kann diesbezüglich zurzeit keine Rechtsverletzung vorliegen. Es kann einzig darauf hingewiesen werden, dass dannzumal diese Ausscheidung zwischen der Strassensanierung Y._____ einschliesslich der Entwässe- rung des Strassenkörpers und der Werkleitungssanierung von der Be- schwerdegegnerin tatsächlich vorzunehmen sein wird und durch die be- troffenen Eigentümer mit den ordentlichen Rechtsmitteln wenn nötig auch angefochten werden kann.</w:t>
      </w:r>
    </w:p>
    <w:p>
      <w:r>
        <w:rPr>
          <w:b/>
        </w:rPr>
        <w:t>E. 8</w:t>
      </w:r>
    </w:p>
    <w:p>
      <w:r>
        <w:t>Abschliessend sei noch darauf hingewiesen, dass die Beschwerdeführer im Beschwerdeverfahren vor Verwaltungsgericht den noch im kommuna- len Einspracheverfahren erhobenen Antrag auf Erhöhung der öffentlichen</w:t>
      </w:r>
    </w:p>
    <w:p>
      <w:r>
        <w:t>- 22 - Interessenz von 40 auf 70 % nicht mehr explizit gestellt haben. Nachdem dieser Antrag im Einspracheverfahren aber hauptsächlich mit der angebli- chen Vermischung der Strassensanierung mit der Werkleitungssanierung begründet wurde und im vorliegenden Verfahren aufgezeigt werden konn- te, dass in der Phase des Kostenverteilers die Ausscheidung zwischen der Strassensanierung (einschliesslich der Entwässerung des Strassen- körpers) und der Werkleitungssanierung von der Beschwerdegegnerin ef- fektiv noch vorzunehmen sein wird, und die Beschwerdegegnerin über- dies den Anteil der öffentlichen Interessenz aufgrund der Tatsache, dass der Y._____ in grossen zeitlichen Intervallen als Transportweg für ge- schlagenes Holz und übers Jahr auch als öffentlicher Wanderweg benutzt wird, gegenüber dem gesetzlich in Art. 63 Abs. 2 KRG vorgesehenen Richtwert für den Gemeindeanteil (30 - 0 %) bereits um 10 % auf 40 % erhöht hat, erwiese sich ein solcher Antrag ohnehin als unbegründet und wäre abzuweisen.</w:t>
      </w:r>
    </w:p>
    <w:p>
      <w:r>
        <w:rPr>
          <w:b/>
        </w:rPr>
        <w:t>E. 9</w:t>
      </w:r>
    </w:p>
    <w:p>
      <w:r>
        <w:t>a) Zusammenfassend erweisen sich die angefochtenen Einspracheent- scheide hinsichtlich des von der Beschwerdegegnerin festgelegten Bei- tragsgebietes betreffend Sanierung Y._____, 1. Etappe, als nicht Rech- tens, was zur teilweisen Gutheissung der Beschwerden führt. Die ange- fochtenen Einspracheentscheide sind insoweit aufzuheben und das fest- gelegte Beitragsgebiet ist durch die Beschwerdegegnerin unter Einbezug der Parzelle 20125 zu ergänzen. Im Übrigen erweisen sich die Beschwer- den als unbegründet und sind abzuweisen. b) Bei diesem Ausgang des Verfahrens gehen die Gerichtskosten gestützt auf Art. 73 Abs. 1 VRG zu zwei Dritteln zulasten der solidarisch haftenden Beschwerdeführer und zu einem Drittel zulasten der Beschwerdegegne- rin. Eine Parteientschädigung steht den teilweise obsiegenden Beschwer- deführern nicht zu, da sie nicht anwaltlich vertreten sind (Art. 78 Abs. 1</w:t>
      </w:r>
    </w:p>
    <w:p>
      <w:r>
        <w:t>- 23 - VRG). Ebenfalls entfällt nach Art. 78 Abs. 2 VRG eine Parteientschädi- gung an die anwaltlich vertretene Beschwerdegegnerin, da diese − wenn überhaupt − lediglich in ihrem amtlichen Wirkungskreis obsiegte.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