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2011 8 vom 10. Mai 2011</w:t>
      </w:r>
    </w:p>
    <w:p>
      <w:r>
        <w:t>GR Gerichte, 2011-05-10, DE</w:t>
      </w:r>
    </w:p>
    <w:p>
      <w:r>
        <w:rPr>
          <w:b/>
        </w:rPr>
        <w:t xml:space="preserve">Quelle: </w:t>
      </w:r>
      <w:r>
        <w:t>https://mcp.opencaselaw.ch/entscheid/gr_gerichte_A_2011_8</w:t>
      </w:r>
    </w:p>
    <w:p>
      <w:r>
        <w:t>FR: GR_GERICHTE A 2011 8 du 10 mai 2011</w:t>
      </w:r>
    </w:p>
    <w:p>
      <w:r>
        <w:t>IT: GR_GERICHTE A 2011 8 del 10 maggio 2011</w:t>
      </w:r>
    </w:p>
    <w:p>
      <w:pPr>
        <w:pStyle w:val="Heading2"/>
      </w:pPr>
      <w:r>
        <w:t>Regeste</w:t>
      </w:r>
    </w:p>
    <w:p>
      <w:r>
        <w:t>Lenkungsabgabe Erstwohnungspflicht (Rückerstattung) | Ersatzabgabe</w:t>
      </w:r>
    </w:p>
    <w:p>
      <w:pPr>
        <w:pStyle w:val="Heading2"/>
      </w:pPr>
      <w:r>
        <w:t>Erwägungen</w:t>
      </w:r>
    </w:p>
    <w:p>
      <w:r>
        <w:rPr>
          <w:b/>
        </w:rPr>
        <w:t>E. 04</w:t>
      </w:r>
    </w:p>
    <w:p>
      <w:r>
        <w:t>36). Beispiele für eine Dauerverfügung sind etwa Berufsausübungsbewilligungen oder Baubewilligungen. Demgegenüber regeln die so genannten urteilsähnlichen Verfügungen ein Rechtsverhältnis für einen zeitlich abgeschlossenen Sachverhalt und eine einmalige Rechtsfolge (vgl. Gygi, a.a.O., S. 159). Klassisches Beispiel hierfür ist eine Abgabeveranlagung, welche auch in der vorliegenden Konstellation zu beurteilen ist. Für die Korrektur solcher Verfügungen steht nicht das Institut des Widerrufs, sondern das ausserordentliche Rechtsmittel der Revision oder Wiedererwägung zur Verfügung. Hinzu kommt, dass die hier umstrittene Lenkungsabgabe schon bei ihrem Erlass verfassungswidrig und damit ursprünglich fehlerhaft war. Auch in einem solchen Fall könnte indessen nach Lehre und Rechtsprechung ein Widerruf in Betracht gezogen werden. Denn für die Zulässigkeit eines Widerrufs spielt die Unterscheidung zwischen ursprünglich fehlerfreien und fehlerhaften Verfügungen keine Rolle. In beiden Fällen ist letztlich eine Abwägung zwischen dem Interesse an der richtigen Rechtsanwendung und dem Interesse am Vertrauensschutz und an der Rechtssicherheit vorzunehmen (Häfelin/Müller/Uhlmann, a.a.O., Rz. 1034). Gegen die grundsätzliche Zulassung des Widerrufs von ursprünglich fehlerhaften Verfügungen spricht indessen insbesondere der Umstand, dass hiergegen Rechtsmittel ergriffen werden können. Entsprechend ist praxisgemäss ein Widerruf einer ursprünglich fehlerhaften Verfügung auszuschliessen, deren Anfechtung der Adressat unterlassen hat (vgl. Häfelin/Müller/Uhlmann, a.a.O., Rz. 1034). Da es hier nicht um eine</w:t>
      </w:r>
    </w:p>
    <w:p>
      <w:r>
        <w:t>Dauerverfügung, sondern um eine Veranlagungsverfügung als urteilsähnliche Verfügung ging, deren Anfechtung die Beschwerdeführerin trotz Möglichkeit unterlassen hat und auch keine wesentliche Änderung der Rechtslage eingetreten ist, besteht vorliegend insgesamt kein hinreichender Grund für einen Widerruf (vgl. auch BG-Urteil 2A.18/2007 vom 8. August 2007 E. 2.2 und 2.3). d) Gemäss Art. 67 Abs. 1 VRG revidiert die Behörde, die zuletzt entschieden hat, rechtskräftige Entscheide von Amtes wegen oder auf Antrag unter anderem, wenn die Partei nachträglich erhebliche Tatsachen oder Beweismittel entdeckt, deren rechtzeitige Beibringung ihr nicht möglich war (lit. a), durch ein Verbrechen oder Vergehen auf den Entscheid eingewirkt worden war (lit. b) oder die Behörde aktenkundige erhebliche Tatsachen aus Versehen nicht gewürdigt hat (lit. d). Tatsachen im Sinne der Revisionsbestimmungen sind Umstände und Ereignisse, die geeignet sind, den Sachverhalt zu verändern, den die Behörde ihrer Verfügung oder Entscheidung zugrunde gelegt hat. Unter Tatsachen sind somit nur Geschehnisse im Seinsbereich zu verstehen und nicht etwa auch Rechts- und Praxisänderungen, neue rechtliche Überlegungen, eine neue Auslegung, veränderte Rechtsanschauungen, Entscheidungen im Falle Dritter oder die gerichtliche Ungültigerklärung der gesetzlichen Grundlage einer Entscheidung (vgl. Beerli-Bonorand, Die ausserordentlichen Rechtsmittel in der Verwaltungsrechtspflege des Bundes und der Kantone, S. 96 f. mit zahlreichen Hinweisen). Solche Tatsachen für eine Revision liegen hier offensichtlich keine vor.</w:t>
      </w:r>
    </w:p>
    <w:p>
      <w:r>
        <w:rPr>
          <w:b/>
        </w:rPr>
        <w:t>E. 4</w:t>
      </w:r>
    </w:p>
    <w:p>
      <w:r>
        <w:t>Zusammenfassend ist somit festzuhalten, dass die Veranlagungsverfügung der Gemeinde … vom 16. April 2009 mit Ablauf der Rechtsmittelfrist in Rechtskraft erwachsen ist, so dass darauf nur mehr unter den Voraussetzungen des Widerrufs bzw. der Revision zurückzukommen wäre (Art. 25 und 67 VRG). Diese sind hier praxisgemäss nicht gegeben, weshalb die Beschwerde abzuweisen ist (vgl. auch VGU A 10 39 zu Lenkungsabgaben; VGU A 04 54, A 04 36, A 04 31 und A 04 24 zu Kulturlandverminderungsabgaben). Bei diesem Ausgang gehen die Gerichtskosten zulasten der Beschwerdeführerin. Bund, Kanton und</w:t>
      </w:r>
    </w:p>
    <w:p>
      <w:r>
        <w:t>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3'000.-- - und den Kanzleiauslagen von Fr. 248.-- zusammen Fr. 3'248.-- gehen zulasten der … SA und sind innert 30 Tagen seit Zustellung dieses Entscheides an die Finanzverwaltung des Kantons Graubünden, Chur, zu bezahlen. Die dagegen an das Bundesgericht erhobene Beschwerde wurde am 25. Juli 2011 abgewiesen, soweit darauf eingetreten wurde (2C_504/2011).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