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OG.2024.00066 vom 24. Januar 2025</w:t>
      </w:r>
    </w:p>
    <w:p>
      <w:r>
        <w:t>GL Gerichte, 2025-01-24, DE</w:t>
      </w:r>
    </w:p>
    <w:p>
      <w:r>
        <w:rPr>
          <w:b/>
        </w:rPr>
        <w:t xml:space="preserve">Quelle: </w:t>
      </w:r>
      <w:r>
        <w:t>https://mcp.opencaselaw.ch/entscheid/gl_gerichte_OG.2024.00066</w:t>
      </w:r>
    </w:p>
    <w:p>
      <w:r>
        <w:t>FR: GL_GERICHTE OG.2024.00066 du 24 janvier 2025</w:t>
      </w:r>
    </w:p>
    <w:p>
      <w:r>
        <w:t>IT: GL_GERICHTE OG.2024.00066 del 24 gennaio 2025</w:t>
      </w:r>
    </w:p>
    <w:p>
      <w:pPr>
        <w:pStyle w:val="Heading2"/>
      </w:pPr>
      <w:r>
        <w:t>Regeste</w:t>
      </w:r>
    </w:p>
    <w:p>
      <w:r>
        <w:t>Fahren in fahrunfähigem Zustand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2. Oktober 2024 verurteilte das hiesige Kantonsgericht den Beschuldigten A.______ wegen Fahrens in fahrunfähigem Zustand zu einer Geldstrafe und Busse (act. 26). Dagegen meldete der damali­ge Rechtsvertre­ter des Beschuldigten in der Folge rechtzeitig Berufung an und ver­langte die schrift­liche Urteilsbegründung (act. 23). Am 17. Dezember 2024 erhielt der Beschuldigte das begründete Kantonsgerichtsurteil zugestellt (act. 28).</w:t>
      </w:r>
    </w:p>
    <w:p>
      <w:r>
        <w:rPr>
          <w:b/>
        </w:rPr>
        <w:t>E. 2</w:t>
      </w:r>
    </w:p>
    <w:p>
      <w:r>
        <w:t>Mit Schreiben vom 27. Dezember 2024 gelangte der Beschuldigte an das Ober­gericht. Die Eingabe mit dem Titel „Beschwerde wegen mangelhafter Beweisauf­nahme und polizeilicher Amtsverletzung“ enthielt keine Anträge in Bezug auf den vorgenannten kantonsgerichtlichen Entscheid.</w:t>
      </w:r>
    </w:p>
    <w:p>
      <w:r>
        <w:rPr>
          <w:b/>
        </w:rPr>
        <w:t>E. 3</w:t>
      </w:r>
    </w:p>
    <w:p>
      <w:r>
        <w:t>Mit Schreiben der Verfahrensleitung vom 30. Dezember 2024 (act. 32) wurde der Beschuldigte auf Art. 399 Abs. 3 StPO hingewiesen, wonach in einer Berufungser­klärung konkret anzugeben ist, ob (i) das kantonsgericht­liche Urteil vollumfänglich oder nur in Teilen angefochten und (ii) welche Änderungen des Urteils verlangt wer­den. Dem Beschuldigten wurde eine Nachfrist bis zum 20. Januar 2025 eingeräumt, um dem Obergericht eine den genannten Anforderungen genügende Berufungser­klärung einzureichen.</w:t>
      </w:r>
    </w:p>
    <w:p>
      <w:r>
        <w:rPr>
          <w:b/>
        </w:rPr>
        <w:t>E. 4</w:t>
      </w:r>
    </w:p>
    <w:p>
      <w:r>
        <w:t>Der Beschuldigte hat innert angesetzter Nachfrist keine weitere Eingabe mehr eingereicht, sodass – wie im erwähnten Schreiben der Verfah­rensleitung für diesen Fall angekündigt – auf die Berufung nicht einzutreten ist. Für die Aufwendun­gen des Obergerichts ist vom Beschuldigten die Minimalgebühr von CHF 100.- zu erheben (Art. 428 Abs. 1 StPO und Art. 8 Abs. 1 lit. a der Zivil- und Strafprozesskos­tenverordnung; GS III A/5). ____________________ Beschluss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