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OG.2023.00034 vom 8. Dezember 2023</w:t>
      </w:r>
    </w:p>
    <w:p>
      <w:r>
        <w:t>GL Gerichte, 2023-12-08, DE</w:t>
      </w:r>
    </w:p>
    <w:p>
      <w:r>
        <w:rPr>
          <w:b/>
        </w:rPr>
        <w:t xml:space="preserve">Quelle: </w:t>
      </w:r>
      <w:r>
        <w:t>https://mcp.opencaselaw.ch/entscheid/gl_gerichte_OG.2023.00034</w:t>
      </w:r>
    </w:p>
    <w:p>
      <w:r>
        <w:t>FR: GL_GERICHTE OG.2023.00034 du 8 décembre 2023</w:t>
      </w:r>
    </w:p>
    <w:p>
      <w:r>
        <w:t>IT: GL_GERICHTE OG.2023.00034 del 8 dicembre 2023</w:t>
      </w:r>
    </w:p>
    <w:p>
      <w:pPr>
        <w:pStyle w:val="Heading2"/>
      </w:pPr>
      <w:r>
        <w:t>Regeste</w:t>
      </w:r>
    </w:p>
    <w:p>
      <w:r>
        <w:t>Sachentziehung</w:t>
      </w:r>
    </w:p>
    <w:p>
      <w:pPr>
        <w:pStyle w:val="Heading2"/>
      </w:pPr>
      <w:r>
        <w:t>Erwägungen</w:t>
      </w:r>
    </w:p>
    <w:p>
      <w:r>
        <w:rPr>
          <w:b/>
        </w:rPr>
        <w:t>E. 4</w:t>
      </w:r>
    </w:p>
    <w:p>
      <w:r>
        <w:t>Der Beschuldigte hat sich an der Berufungsverhandlung nicht zur erstinstanzlichen Strafzumessung (Geldstrafe von 12 Tagessätzen zu CHF 590.— und Verbindungs­busse von CHF 1'770.—) geäussert. Die Erwägungen der Vorinstanz zur Strafzu­messung sowie zur Gewährung des bedingten Strafvollzugs hinsichtlich der Geld­strafe unter Ansetzung einer Probezeit von drei Jahren sind in sich stimmig und kor­rekt; es kann darauf wiederum gestützt auf Art. 82 Abs. 4 StPO verwiesen werden (act. 30 S. 11 ff. E. IV.). Die Tagessatzhöhe und die Verbindungsbusse sind aller­dings dem vom Beschuldigten an der Berufungsverhandlung bestätigten aktuellen Jahreseinkommen von CHF 417'700.— anzupassen (act. 47 und act. 49 S. 3), worauf der Beschuldigte an der Berufungsverhandlung explizit hingewiesen wurde (act. 49 S. 8; zur Massgeblichkeit des aktuellen Einkommens bei der Bemessung einer monetären Sanktion siehe BGE 144 IV 198 E. 5.4.3 S. 201 f.). Beim vorge­nannten Einkommen resultieren eine Tagessatzhöhe von CHF 810.— sowie eine Busse von CHF 2'430.— (act. 52).</w:t>
      </w:r>
    </w:p>
    <w:p>
      <w:r>
        <w:rPr>
          <w:b/>
        </w:rPr>
        <w:t>E. 5</w:t>
      </w:r>
    </w:p>
    <w:p>
      <w:r>
        <w:t>Im nachstehenden Berufungsentscheid bleibt vorweg festzuhalten, dass das vorinstanzliche Urteil in zwei Punkten unangefochten in Rechtskraft erwachsen ist: Dispositiv-Ziff. 6 (Verweisung der Privatklägerin mit ihrer Forderung auf den Zivil­weg) und Dispositiv-Ziff. 7 (Feststellung der Verletzung des Beschleunigungsge­bots).</w:t>
      </w:r>
    </w:p>
    <w:p>
      <w:r>
        <w:rPr>
          <w:b/>
        </w:rPr>
        <w:t>E. 6</w:t>
      </w:r>
    </w:p>
    <w:p>
      <w:r>
        <w:t>Beim vorliegenden Verfahrensausgang sind dem Beschuldigten neben den Unter­suchungs- und erstinstanzlichen Gerichtskosten von CHF 900.— bzw. CHF 2'600.— ebenso die hier auf CHF 2'000.— festzusetzen Kosten des Berufungsverfahrens (Art. 6 und Art. 8 Abs. 1 lit. b Ziff. 2 der kantonalen Zivil- und Strafprozesskostenver­ordnung; GS III A/5) aufzuerlegen (Art. 426 Abs. 1 und Art. 428 Abs. 1 StPO). ____________________ beschlossen: 1. Es wird vorgemerkt, dass die nachfolgenden Dispositivziffern des Urteils der II. Kammer des Kantonsgerichts Glarus vom 10. Mai 2023 im Verfahren SG.2022.00022 unangefochten in Rechtskraft erwachsen sind: «6. Die Privatklägerin wird mit ihrer Forderung auf den Zivilweg verwiesen.</w:t>
      </w:r>
    </w:p>
    <w:p>
      <w:r>
        <w:rPr>
          <w:b/>
        </w:rPr>
        <w:t>E. 7</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