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OG.2020.00067 vom 13. November 2020</w:t>
      </w:r>
    </w:p>
    <w:p>
      <w:r>
        <w:t>GL Gerichte, 2020-11-13, DE</w:t>
      </w:r>
    </w:p>
    <w:p>
      <w:r>
        <w:rPr>
          <w:b/>
        </w:rPr>
        <w:t xml:space="preserve">Quelle: </w:t>
      </w:r>
      <w:r>
        <w:t>https://mcp.opencaselaw.ch/entscheid/gl_gerichte_OG.2020.00067</w:t>
      </w:r>
    </w:p>
    <w:p>
      <w:r>
        <w:t>FR: GL_GERICHTE OG.2020.00067 du 13 novembre 2020</w:t>
      </w:r>
    </w:p>
    <w:p>
      <w:r>
        <w:t>IT: GL_GERICHTE OG.2020.00067 del 13 novembre 2020</w:t>
      </w:r>
    </w:p>
    <w:p>
      <w:pPr>
        <w:pStyle w:val="Heading2"/>
      </w:pPr>
      <w:r>
        <w:t>Regeste</w:t>
      </w:r>
    </w:p>
    <w:p>
      <w:r>
        <w:t>Hausdurchsuchung</w:t>
      </w:r>
    </w:p>
    <w:p>
      <w:pPr>
        <w:pStyle w:val="Heading2"/>
      </w:pPr>
      <w:r>
        <w:t>Erwägungen</w:t>
      </w:r>
    </w:p>
    <w:p>
      <w:r>
        <w:rPr>
          <w:b/>
        </w:rPr>
        <w:t>E. 1</w:t>
      </w:r>
    </w:p>
    <w:p>
      <w:r>
        <w:t>Die Staatsanwaltschaft des Kantons Glarus führt gegen […] eine Strafun­tersuchung wegen Verdachts auf qualifizierte Sachbeschädigung (act. 3/2). Im Rahmen dieser Ermittlungen fand am 6. Oktober 2020 am Wohndomizil des Beschuldigten an der […] eine Hausdurchsuchung statt (siehe dazu act. 3/4); dies gestützt auf einen entsprechenden Durchsuchungs- und Beschlagnahmebefehl der Staatsanwaltschaft Glarus vom 18. August 2020 (act. 3/3). Anlässlich der Durchsuchung in der Wohnung des Beschuldigten wurde auch das Zimmer des Mitbewohners A.______ durchforscht und daraus Gegenstände sichergestellt (act. 3/4, dort insbesondere auch Fotobogen).</w:t>
      </w:r>
    </w:p>
    <w:p>
      <w:r>
        <w:rPr>
          <w:b/>
        </w:rPr>
        <w:t>E. 2</w:t>
      </w:r>
    </w:p>
    <w:p>
      <w:r>
        <w:t>Mit Eingabe vom 8. Oktober 2020 wandte sich A.______ an die hiesige Staats­anwaltschaft und vertritt darin den Standpunkt, die Durchsuchung seines Zimmers sei nicht rechtmässig gewesen (act. 1). Die Staatsanwaltschaft hat die Eingabe an das Obergericht zur Behandlung als Beschwerde weitergeleitet (act. 2).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