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OG.2019.00090 vom 22. November 2019</w:t>
      </w:r>
    </w:p>
    <w:p>
      <w:r>
        <w:t>GL Gerichte, 2019-11-22, DE</w:t>
      </w:r>
    </w:p>
    <w:p>
      <w:r>
        <w:rPr>
          <w:b/>
        </w:rPr>
        <w:t xml:space="preserve">Quelle: </w:t>
      </w:r>
      <w:r>
        <w:t>https://mcp.opencaselaw.ch/entscheid/gl_gerichte_OG.2019.00090</w:t>
      </w:r>
    </w:p>
    <w:p>
      <w:r>
        <w:t>FR: GL_GERICHTE OG.2019.00090 du 22 novembre 2019</w:t>
      </w:r>
    </w:p>
    <w:p>
      <w:r>
        <w:t>IT: GL_GERICHTE OG.2019.00090 del 22 novembre 2019</w:t>
      </w:r>
    </w:p>
    <w:p>
      <w:pPr>
        <w:pStyle w:val="Heading2"/>
      </w:pPr>
      <w:r>
        <w:t>Regeste</w:t>
      </w:r>
    </w:p>
    <w:p>
      <w:r>
        <w:t>Ausstand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Kosten dieses Entscheids werden auf die Staatskasse genommen.</w:t>
      </w:r>
    </w:p>
    <w:p>
      <w:r>
        <w:rPr>
          <w:b/>
        </w:rPr>
        <w:t>E. 3</w:t>
      </w:r>
    </w:p>
    <w:p>
      <w:r>
        <w:t>Schriftliche Mitteilung an: 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