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OG.2018.00030 vom 4. Dezember 2020</w:t>
      </w:r>
    </w:p>
    <w:p>
      <w:r>
        <w:t>GL Gerichte, 2020-12-04, DE</w:t>
      </w:r>
    </w:p>
    <w:p>
      <w:r>
        <w:rPr>
          <w:b/>
        </w:rPr>
        <w:t xml:space="preserve">Quelle: </w:t>
      </w:r>
      <w:r>
        <w:t>https://mcp.opencaselaw.ch/entscheid/gl_gerichte_OG.2018.00030</w:t>
      </w:r>
    </w:p>
    <w:p>
      <w:r>
        <w:t>FR: GL_GERICHTE OG.2018.00030 du 4 décembre 2020</w:t>
      </w:r>
    </w:p>
    <w:p>
      <w:r>
        <w:t>IT: GL_GERICHTE OG.2018.00030 del 4 dicembre 2020</w:t>
      </w:r>
    </w:p>
    <w:p>
      <w:pPr>
        <w:pStyle w:val="Heading2"/>
      </w:pPr>
      <w:r>
        <w:t>Regeste</w:t>
      </w:r>
    </w:p>
    <w:p>
      <w:r>
        <w:t>Veruntreuung</w:t>
      </w:r>
    </w:p>
    <w:p>
      <w:pPr>
        <w:pStyle w:val="Heading2"/>
      </w:pPr>
      <w:r>
        <w:t>Erwägungen</w:t>
      </w:r>
    </w:p>
    <w:p>
      <w:r>
        <w:rPr>
          <w:b/>
        </w:rPr>
        <w:t>E. 1</w:t>
      </w:r>
    </w:p>
    <w:p>
      <w:r>
        <w:t>Die Kosten des gesamten Strafverfahrens sind beim vorliegenden Ausgang vom Staat zu tragen (vgl. Art. 423 Abs. 1 StPO und Art. 428 Abs. 1 StPO).</w:t>
      </w:r>
    </w:p>
    <w:p>
      <w:r>
        <w:rPr>
          <w:b/>
        </w:rPr>
        <w:t>E. 2</w:t>
      </w:r>
    </w:p>
    <w:p>
      <w:r>
        <w:t>Rechtsanwalt B.______ ist als amtlicher Verteidiger für seine Bemühungen im Berufungsverfahren aus der Gerichtskasse mit CHF 2'424.05 (inkl. MwSt.) zu entschädigen. Die Entschädigung ist beim vorliegenden Ausgang des Berufungsverfahrens dem Staat aufzuerlegen (vgl. Art. 429 Abs. 1 Bst. a StPO).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