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OG.2013.00047 vom 25. Oktober 2013</w:t>
      </w:r>
    </w:p>
    <w:p>
      <w:r>
        <w:t>GL Gerichte, 2013-10-25, DE</w:t>
      </w:r>
    </w:p>
    <w:p>
      <w:r>
        <w:rPr>
          <w:b/>
        </w:rPr>
        <w:t xml:space="preserve">Quelle: </w:t>
      </w:r>
      <w:r>
        <w:t>https://mcp.opencaselaw.ch/entscheid/gl_gerichte_OG.2013.00047</w:t>
      </w:r>
    </w:p>
    <w:p>
      <w:r>
        <w:t>FR: GL_GERICHTE OG.2013.00047 du 25 octobre 2013</w:t>
      </w:r>
    </w:p>
    <w:p>
      <w:r>
        <w:t>IT: GL_GERICHTE OG.2013.00047 del 25 ottobre 2013</w:t>
      </w:r>
    </w:p>
    <w:p>
      <w:pPr>
        <w:pStyle w:val="Heading2"/>
      </w:pPr>
      <w:r>
        <w:t>Regeste</w:t>
      </w:r>
    </w:p>
    <w:p>
      <w:r>
        <w:t>konkursamtliche Liquidation einer ausgeschlagenen Erbschaft</w:t>
      </w:r>
    </w:p>
    <w:p>
      <w:pPr>
        <w:pStyle w:val="Heading2"/>
      </w:pPr>
      <w:r>
        <w:t>Erwägungen</w:t>
      </w:r>
    </w:p>
    <w:p>
      <w:r>
        <w:rPr>
          <w:b/>
        </w:rPr>
        <w:t>E. 1</w:t>
      </w:r>
    </w:p>
    <w:p>
      <w:r>
        <w:t>X.______ sel. verstarb am [...] in [...]. Seinem Betreibungsregisterauszug zufolge bestehen 21 offene Verlustscheine über einen Betrag von Fr. 128‘642.25. Am 5. Juli 2013 gelangte B.______, die Tochter von X.______ sel., mit einem Begehren um eine „neue Frist im Sinne von Art. 526 ZGB“ und einer Erbausschlagung an das Kantonsgericht.</w:t>
      </w:r>
    </w:p>
    <w:p>
      <w:r>
        <w:rPr>
          <w:b/>
        </w:rPr>
        <w:t>E. 2</w:t>
      </w:r>
    </w:p>
    <w:p>
      <w:r>
        <w:t>Mit Verfügung vom 19. August 2013 ordnete der Kantonsgerichtspräsident die konkursamtliche Liquidation der Erbschaft des X.______ sel. an (Dispositiv Ziff. 1).</w:t>
      </w:r>
    </w:p>
    <w:p>
      <w:r>
        <w:rPr>
          <w:b/>
        </w:rPr>
        <w:t>E. 3</w:t>
      </w:r>
    </w:p>
    <w:p>
      <w:r>
        <w:t>Dagegen erhob die A.______ AG am 23. August 2013 fristge­recht Beschwerde. B.______ liess sich mit Eingabe vom 12. September 2012 vernehmen.</w:t>
      </w:r>
    </w:p>
    <w:p>
      <w:r>
        <w:rPr>
          <w:b/>
        </w:rPr>
        <w:t>E. 4</w:t>
      </w:r>
    </w:p>
    <w:p>
      <w:r>
        <w:t>a) Die Erben haben die Befugnis, die ihnen zugefallene Erbschaft auszu­schlagen (Art. 566 Abs. 1 ZGB). Ist die Zahlungsunfähigkeit des Erblassers im Zeit­punkt seines Todes amtlich festgestellt oder offenkundig, so wird die Ausschlagung vermutet (Art. 566 Abs. 2 ZGB). Nach dem Gesetz wird somit die Ausschlagung der Erb­schaft eines Zahlungsunfähigen vermutet. Damit deren Wirkung eintritt, bedarf es keiner ausdrücklichen Handlung des Erben. Nur eine Annahmeerklärung oder Ein­mischung würde die Vermutung umstossen (ZK- Escher , Art. 566 N 11 und N 14, BSK- Schwander , Art. 566 N 8). b) Entgegen der Auffassung der Beschwerdeführerin kann der Beschwerde­gegnerin nicht zum Vorwurf gemacht werden, dass sie nicht früher aktiv geworden ist bzw. das Erbe gar ausgeschlagen hat. Die Zahlungsunfähigkeit von X.______ sel. war offenkundig und der Beschwerdeführerin gemäss eigenen Ausführungen bereits 2009 bekannt. Folglich ist die Ausschlagung zu vermuten. Hinweise, dass sich B.______ in das Erbe eingemischt oder eine Annahmeerklärung abgegeben hat, liegen nicht vor. c) Zusammenfassend ist festzuhalten, dass die Vorinstanz das Recht richtig angewendet hat. Die Beschwerde ist deshalb abzuweisen. III. Bei diesem Ausgang sind die Kosten der Beschwerdeführerin aufzuerlegen (Art. 106 Abs. 1 ZPO). Parteientschädigungen sind keine zuzusprechen, da der Be­schwerdegegnerin durch das Beschwerdeverfahren kein wesentlicher Aufwand ent­standen ist. Der Streitwert erreicht Fr. 10‘000.- nicht.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