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OG.2012.00043 vom 18. Januar 2013</w:t>
      </w:r>
    </w:p>
    <w:p>
      <w:r>
        <w:t>GL Gerichte, 2013-01-18, DE</w:t>
      </w:r>
    </w:p>
    <w:p>
      <w:r>
        <w:rPr>
          <w:b/>
        </w:rPr>
        <w:t xml:space="preserve">Quelle: </w:t>
      </w:r>
      <w:r>
        <w:t>https://mcp.opencaselaw.ch/entscheid/gl_gerichte_OG.2012.00043</w:t>
      </w:r>
    </w:p>
    <w:p>
      <w:r>
        <w:t>FR: GL_GERICHTE OG.2012.00043 du 18 janvier 2013</w:t>
      </w:r>
    </w:p>
    <w:p>
      <w:r>
        <w:t>IT: GL_GERICHTE OG.2012.00043 del 18 gennaio 2013</w:t>
      </w:r>
    </w:p>
    <w:p>
      <w:pPr>
        <w:pStyle w:val="Heading2"/>
      </w:pPr>
      <w:r>
        <w:t>Regeste</w:t>
      </w:r>
    </w:p>
    <w:p>
      <w:r>
        <w:t>Beschwerde gegen Einstellungsverfügung</w:t>
      </w:r>
    </w:p>
    <w:p>
      <w:pPr>
        <w:pStyle w:val="Heading2"/>
      </w:pPr>
      <w:r>
        <w:t>Erwägungen</w:t>
      </w:r>
    </w:p>
    <w:p>
      <w:r>
        <w:rPr>
          <w:b/>
        </w:rPr>
        <w:t>E. 1</w:t>
      </w:r>
    </w:p>
    <w:p>
      <w:r>
        <w:t>a) Am 6. Juli 2011 erstattete D.______, Geschäftsführer und ehemals Vorsitzender der Geschäftsführung der A.______ GmbH, beim Polizeistützpunkt Glarus Strafanzeige gegen C.______ wegen Verun­treuung, Diebstahl und eventuell ungetreuer Geschäftsbesorgung. Am 9. Juli 2011 erhob er zudem Straf- und Zivilklage gegen C.______. b) Anlässlich der polizeilichen Einvernahme sagte D.______ aus, dass er mit seiner Frau am 8. November 2010 die A.______ GmbH gegründet habe. Per 2. Dezember 2010 habe er C.______, der von Beginn weg mit Einzelunterschrift zeichnungsberechtigt gewesen sei, als Geschäftsführer angestellt. c) D.______ wirft C.______ vor, private Rechnungen über das Geschäftskonto bezahlt zu haben. Sodann habe C.______ auch eine Kredit­karte „alleine“ genutzt, welche dem Geschäft belastet worden sei. Zudem habe C.______ Waren über das Geschäft bezogen, die er nie bezahlt habe, ein Notebook habe er nie zurückgegeben. Ausserdem habe er über das Geschäft ein neues, privates Mobiltelefon bezogen, die Rechnung aber eben­falls nie bezahlt. Sodann habe er Löhne für sich und seine Freundin ausbezahlt, obwohl er [D.______] ihm dies verboten habe. Es sei abgemacht gewesen, dass C.______ private Rechnungen bis zur Höhe seines Lohnes begleichen dürfe. Die in der Buchhaltung ausgewiesenen Lohnabzüge seien C.______ nie in Abzug gebracht worden. Zudem habe C.______ Waren mit einem zu hohen Rabatt verkauft. Wohl habe er C.______ Geld geliehen, Bedingung sei aber immer die Rückzahlung gewesen. d) Im Februar 2011 habe er sich mit C.______ darauf geeinigt, das Geschäft Ende April 2011 zu schliessen. Er habe bereits per 22. März 2011 eine neue Stelle gefunden, weshalb C.______ den Laden alleine weitergeführt habe. Am 31. März 2011 sei der Laden durch C.______ geschlossen worden, am 6. April 2011 habe dieser die noch im Laden befindlichen Waren für nur Fr. 1‘500.- an die F.______ AG verkauft.</w:t>
      </w:r>
    </w:p>
    <w:p>
      <w:r>
        <w:rPr>
          <w:b/>
        </w:rPr>
        <w:t>E. 2</w:t>
      </w:r>
    </w:p>
    <w:p>
      <w:r>
        <w:t>a) Mit Verfügung vom 5. Juli 2012 stellte die Staats- und Jugendanwalt­schaft des Kantons Glarus das Verfahren gegen C.______ ein (Dispositiv Ziff. 1 im Verfahren SA.2011.02435) und verwies allfällige Zivilforder­un­gen auf den Zivilweg (Dispositiv Ziff. 2). Die Verfahrenskosten wurden auf die Staatskasse genommen, C.______ wurde weder eine Entschädigung noch eine Genugtuung ausgerichtet (Dispositiv Ziff. 3 und 4). b) Die Staatsanwaltschaft begründete ihren Entscheid damit, dass C.______ aufgrund einer Vereinbarung zwischen ihm und D.______ berechtigt gewesen sei, private Warenbezüge auf Rechnung der A.______ GmbH zu tätigen. Ob die Waren zurückbezahlt wurden, sei im Zivilprozess zu klären. c) Betreffend die privaten Überweisungen ab Geschäftskonti führt die Staats­anwaltschaft aus, dass C.______ berechtigt gewesen sei, diese zu tätigen, es könne kein strafrechtlich relevantes Verhalten nachgewiesen werden. d) Zu den privaten Barbezügen führt die Staatsanwaltschaft aus, dass die Tatbestände der Veruntreuung (Art. 138 Ziff. 1 Abs. 2 StGB) und der ungetreuen Geschäftsbesorgung im Sinne von Art. 158 Ziff. 2 StGB Bereicherungsabsicht voraussetzen, diese könne C.______ nicht nachgewiesen werden. Hinsichtlich der ungetreuen Geschäfts­besorgung im Sinne von Art. 158 Ziff. 1 StGB könne C.______ nicht rechts­genüglich nachgewiesen werden, dass er die A.______ GmbH wissentlich und willentlich geschädigt habe, weshalb der subjektive Tatbestand nicht erfüllt sei. e) Zum Vorwurf, dass C.______ sich im Zeitraum vom 31. März 2011 bis zum 6. April 2011 nicht an die Weisungen von D.______ gehalten und dadurch die A.______ GmbH erheblich geschädigt habe, hält die Staats­anwaltschaft fest, das nicht ersichtlich sei, inwiefern C.______ durch die Unterzeichnung eines Vertrags, wodurch Waren zwar zu einem tiefen Preis verkauft, aber auch der Mietvertrag aufgelöst worden sei, einen Straftatbestand erfüllt haben soll . f) Zum Vorwurf, dass C.______ kurz vor Schliessung des Ladens Waren mit zu hohem Rabatt verkauft habe, führt die Staatsanwaltschaft aus, dass nicht ersichtlich sei, inwiefern dieser mit seinem Verhalten einen Straftatbestand erfüllt haben soll.</w:t>
      </w:r>
    </w:p>
    <w:p>
      <w:r>
        <w:rPr>
          <w:b/>
        </w:rPr>
        <w:t>E. 3</w:t>
      </w:r>
    </w:p>
    <w:p>
      <w:r>
        <w:t>Gegen diese Einstellungsverfügung erhob D.______ im Namen der A.______ GmbH mit Eingabe vom 13. Juli 2012 fristgerecht Beschwerde. Der später beigezogene Rechtsvertreter reichte am 29. Oktober 2012 mit Zustimmung des Gerichts eine ergänzende Stellungnahme ein.</w:t>
      </w:r>
    </w:p>
    <w:p>
      <w:r>
        <w:rPr>
          <w:b/>
        </w:rPr>
        <w:t>E. 4</w:t>
      </w:r>
    </w:p>
    <w:p>
      <w:r>
        <w:t>a) Die Beschwerdeführerin rügt weiter, die Staatsanwaltschaft habe ihre Untersuchungen im Bereich des Warenverkaufs an die F.______ AG zu wenig intensiv betrieben. Sie habe weder die Vertreter der F.______ AG vorgeladen, noch Einblick in deren Buchhaltung genommen und deshalb strafrechtlich relevan­tes Verhalten übersehen. Mit dem Verkauf des Restbestandes für nur Fr. 1‘500.- habe C.______ nicht im Interesse der Beschwerdeführerin gehandelt, sondern sich „über den Tisch ziehen lassen“. b) Die Staats- und Jugendanwaltschaft des Kantons Glarus eröffnete die Straf­untersuchung gegen C.______ am 6. Dezember 2011. Am 12. Februar 2012 und am 21. März 2012 erkundigte sich D.______ über den Fortgang des Verfahrens. Am 27. März 2012 stellte die Staatsanwaltschaft den Parteien den Erlass einer Einstellungsverfügung in Aussicht und setzte eine Frist für Beweisanträge. Am 9. April 2012 reichte D.______ eine weitere Stellungnahme ein. Nachdem D.______ am 18. April 2012 die Verfahrensakten eingesehen hatte, reichte er in Absprache mit der Staats- und Jugendanwaltschaft am 27. April 2012 Beweisunterlagen ein. In der Folge erging am 5. Juli 2012 die Einstellungs­verfügung der Staats- und Jugendanwaltschaft. c) Die Staatsanwaltschaft eröffnete am 6. Dezember 2011 zwar formell eine Untersuchung gegen C.______. Sie führte aber keine weiteren Untersu­chungshandlungen durch. Sie befragte weder den Beschuldigten oder den Anzeige­erstatter noch weitere Personen wie Geschäftspartner, Lieferanten oder Vermieter. Die Staatsanwaltschaft stützt sich vor allem auf Parteiaussagen, um zum Schluss zu gelangen, dass C.______ kein strafrechtlich relevantes Verhalten nachgewie­sen werden könne. Insbesondere zum Vorgang rund um die Ladenschliessung und den Verkauf der Waren hat die Staatsanwaltschaft einzig auf Parteiaussagen abge­stellt. Weitere bei den Akten liegende Dokumente liess sie ausser Acht, insbeson­dere Unterlagen wie Buchhaltung, Verträge, oder Bestätigungen von Lieferanten über Verfalldaten von Waren, beachtete sie keineswegs. Faktisch dürfte es sich bei der Einstellungsverfügung zumindest teilweise um eine Nichtanhandnahmeverfü­gung handeln. Mit der Beschwerdeführerin ist davon auszugehen, dass die Staats­anwaltschaft den Sachverhalt nicht genügend abgeklärt hat, um zum Schluss zu gelangen, dass kein strafrechtlich relevantes Verhalten vorliegt.</w:t>
      </w:r>
    </w:p>
    <w:p>
      <w:r>
        <w:rPr>
          <w:b/>
        </w:rPr>
        <w:t>E. 5</w:t>
      </w:r>
    </w:p>
    <w:p>
      <w:r>
        <w:t>Zusammenfassend kann festgehalten werden, dass die Beschwerde gut­zuheissen ist. Die Strafsache ist zur weiteren Untersuchung im Sinne der vorste­henden Erwägungen an die Staatsanwaltschaft zurückzuweisen. Im Anschluss ist bei Zweifeln an der Unschuld von C.______ Anklage beim Gericht zu erheben, sofern der Fall nicht im Strafbefehlsverfahren erledigt werden kann. IV. Bei diesem Ausgang sind die Kosten des obergerichtlichen Verfahrens auf die Staatskasse zu nehmen (Art. 428 Abs. 1 und Abs. 4 StPO). Parteientschädigungen werden keine zugesprochen.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