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GL-1924 vom 27. Februar 2025</w:t>
      </w:r>
    </w:p>
    <w:p>
      <w:r>
        <w:t>GL Gerichte, 2025-02-27, DE</w:t>
      </w:r>
    </w:p>
    <w:p>
      <w:r>
        <w:rPr>
          <w:b/>
        </w:rPr>
        <w:t xml:space="preserve">Quelle: </w:t>
      </w:r>
      <w:r>
        <w:t>https://mcp.opencaselaw.ch/entscheid/gl_gerichte_GL-1924</w:t>
      </w:r>
    </w:p>
    <w:p>
      <w:r>
        <w:t>FR: GL_GERICHTE GL-1924 du 27 février 2025</w:t>
      </w:r>
    </w:p>
    <w:p>
      <w:r>
        <w:t>IT: GL_GERICHTE GL-1924 del 27 febbraio 2025</w:t>
      </w:r>
    </w:p>
    <w:p>
      <w:pPr>
        <w:pStyle w:val="Heading2"/>
      </w:pPr>
      <w:r>
        <w:t>Erwägungen</w:t>
      </w:r>
    </w:p>
    <w:p>
      <w:r>
        <w:rPr>
          <w:b/>
        </w:rPr>
        <w:t>E. 1</w:t>
      </w:r>
    </w:p>
    <w:p>
      <w:r>
        <w:t>A.______meldete sich am 18. Juni 2023 bei der Ausgleichskasse Glarus zum Bezug von Ergänzungsleistungen an. Letztere verneinte am 6. Juli 2023 einen solchen Anspruch, da die Vermögensschwelle im massgebenden Zeitpunkt überschritten worden sei.</w:t>
      </w:r>
    </w:p>
    <w:p>
      <w:r>
        <w:rPr>
          <w:b/>
        </w:rPr>
        <w:t>E. 2</w:t>
      </w:r>
    </w:p>
    <w:p>
      <w:r>
        <w:t>Gegen die leistungsabweisende Verfügung erhobA.______am 27. Juli 2023 bzw. am 16. August 2023 Einsprache, welche die Ausgleichskasse am 10. Oktober 2024 abwies.</w:t>
      </w:r>
    </w:p>
    <w:p>
      <w:r>
        <w:rPr>
          <w:b/>
        </w:rPr>
        <w:t>E. 3</w:t>
      </w:r>
    </w:p>
    <w:p>
      <w:r>
        <w:t>3.1Gemäss Art. 9a Abs. 1 ELG haben Personen Anspruch auf Ergänzungsleistungen, wenn sie über ein Reinvermögen unterhalb der Vermögensschwelle verfügen, wobei diese bei alleinstehenden Personen bei Fr. 100'000.- liegt (lit. a). Ein Anspruch auf Ergänzungsleistungen wird daher überhaupt erst geprüft, wenn das Vermögen unter dieser Vermögensschwelle liegt (Erwin Carigiet/Uwe Koch, Ergänzungsleistungen zur AHV/IV, 3. A., Zürich 2021, Rz. 570).</w:t>
      </w:r>
    </w:p>
    <w:p>
      <w:r>
        <w:t>3.2Meldet sich eine Person für eine jährliche Ergänzungsleistung an, ist für den Anspruch das Vermögen massgebend, das am ersten Tag des Monats vorhanden ist, ab dem die Ergänzungsleistung beansprucht wird (Art. 2 Abs. 2 ELV). Der Anspruch auf eine jährliche Ergänzungsleistung besteht ab Beginn des Monats, in dem die Anmeldung eingereicht worden ist, sofern sämtliche gesetzlichen Voraussetzungen erfüllt sind (Art. 12 Abs. 1 ELG). Wird die Anmeldung innert sechs Monaten nach einem Heim- oder Spitaleintritt eingereicht, so besteht der Anspruch ab Beginn des Monats des Heim- oder Spitaleintritts, sofern sämtliche gesetzlichen Voraussetzungen erfüllt sind (Art. 12 Abs. 2 ELG).</w:t>
      </w:r>
    </w:p>
    <w:p>
      <w:r>
        <w:rPr>
          <w:b/>
        </w:rPr>
        <w:t>E. 4</w:t>
      </w:r>
    </w:p>
    <w:p>
      <w:r>
        <w:t>4.1Die Beschwerdeführerin trat am 2. März 2023 in die B.______ ein und meldete sich innert sechs Monaten bzw. am 18. Juni 2023 bei der Beschwerdegegnerin zum Bezug von Ergänzungsleistungen an. Mit Blick auf das oben Dargelegte (vgl. vorstehende E. II/3.2) ist zur Beurteilung der Vermögensschwelle gemäss Art. 9a Abs. 1 ELG das Vermögen der Beschwerdeführerin am 1. März 2023 massgebend. Fraglich und zu prüfen bleibt somit, ob anhand der im Recht liegenden Belege der Vermögensstand per 1. März 2023 rechtsgenüglich ermittelt werden kann.</w:t>
      </w:r>
    </w:p>
    <w:p>
      <w:r>
        <w:rPr>
          <w:b/>
        </w:rPr>
        <w:t>E. 4.2</w:t>
      </w:r>
    </w:p>
    <w:p>
      <w:r>
        <w:t>4.2.1DerUntersuchungsgrundsatz schliesst die Beweislast im Sinne der Beweisführungslast begriffsnotwendig aus, da es Sache des Sozialversicherungsgerichts (oder der verfügenden Verwaltungsstelle) ist, für die Zusammentragung desBeweismaterials besorgt zu sein, womit imSozialversicherungsprozess in der Regel die Parteien eine Beweislast nur insoferntragen,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BGer-Urteil 8C_12/2024vom 4. Juli 2024 E. 6.2, je mit Hinweisen).</w:t>
      </w:r>
    </w:p>
    <w:p>
      <w:r>
        <w:t>4.2.2Die im Recht liegenden Akten erhellen, dass die Beschwerdegegnerin die Vermögenssituation der Beschwerdeführerin im Rahmen ihrer Möglichkeiten abgeklärt hat. So forderte sie Letztere am 3. August 2023 dazu auf, verschiedene Belege für die Prüfung des Ergänzungsleistungsanspruchs einzureichen. Da die Beschwerdeführerin dem lediglich teilweise nachkam und eine weitere Edition zusätzlicher Akten offensichtlich nicht möglich war (vgl. hierzu auch die Abklärung betreffend Nachlassinventar) bzw. sich erübrigte, durfte sie anhand der ihr zur Verfügung stehenden Akten entscheiden, nicht zuletzt, weil ihr ein Entscheid über die Vermögenssituation der Beschwerdeführerin am 1. März 2023 mit dem Grad der überwiegenden Wahrscheinlichkeit möglich war (vgl. vorstehende E. II/4.2.1). Entsprechend war die Beschwerdegegnerin denn auch nicht dazu gehalten, weitere Sachverhaltsabklärungen vorzunehmen.</w:t>
      </w:r>
    </w:p>
    <w:p>
      <w:r>
        <w:t>4.3Hinsichtlich der Vermögenssituation der Beschwerdeführerin wurden in ihren Steuererklärungen für die Jahre 2010 bis 2023 Wertschriften und Guthaben zwischen Fr. 125'890.- (2023) und Fr. 221'224.- (2021) ausgewiesen. Vor dem Hintergrund, dass die Bewertung der anrechenbaren Vermögensbestandteile nach den Grundsätzen der Gesetzgebung über die direkte kantonale Steuer im Wohnsitzkanton zu erfolgen hat bzw. die durch die Steuerbehörden ermittelten Vermögenswerte vor Abzug der steuerrechtlichen Freibeträge massgebend sind (vgl. Bundesamt für Sozialversicherungen [BSV], Wegleitung über die Ergänzungsleistungen zur AHV und IV [WEL], gültig ab 1. April 2011, Stand 1. Januar 2024, Rz. 3445.01), besteht damit bereits ein gewichtiges Indiz, dass das Vermögen der Beschwerdeführerin am 1. März 2023 die Schwelle gemässArt. 9a Abs. 1 lit. a ELG überschritten hat. In diesem Licht sind sodann auch die Saldi der beiden auf die Beschwerdeführerin lautenden Konten bei der C.______Bank (Service Konto Privat, Saldo per 28. Februar 2023 Fr. 92'799.16) sowie der D.______Bank (Aktionärskonto, Saldo per 31. Dezember 2022 Fr. 48'561.70) zu werten, welche ebenfalls auf eine Überschreitung der Vermögensschwelle hindeuten, woran die Vorbringen der Beschwerdeführerin nichts ändern. So vermag Letztere weder gestützt auf die eingereichte Tabelle noch unter Hinweis auf die Ausführungen gegenüber ihrer Rechtsvertretung Gegenteiliges nachzuweisen. Einerseits erscheint es nämlich weder nachvollziehbar noch plausibel, weshalb ein monatlicher Betrag in der Höhe von Fr. 70'000.-, woran die Beschwerdeführerin im Übrigen ein Nutzniessungsrecht hat, vom Vermögensstand abgezogen werden sollte. Andererseits vermag Letztere die Anmerkungen gegenüber ihrer Rechtsvertretung nicht mit Bankbelegen zu untermauern, weshalb diese eher als reine Parteibehauptung einzustufen sind. Hierfür spricht denn auch, dass die Bevollmächtigte der Beschwerdeführerin, deren Verhalten und deren Aussagen der Beschwerdeführerin anzurechnen sind (statt vieler: BGer-Urteil 9C_588/2019 vom 14. Februar 2020 E. 3.2, mit Hinweisen), in der Anmeldung für Ergänzungsleistungen am 18. Juni 2023 sowie in den Eingaben vom 27. Juli 2023, 16. August 2023 sowie 9. Oktober 2023 gegenüber der Beschwerdegegnerin angegeben hat, dass die Vermögensschwelle erst in naher Zukunft unterschritten werde. Diese Angaben sind entgegen der Ansicht der Beschwerdeführerin als "Aussagen der erste Stunde" zu werten, welchen praxisgemäss ein besonderer Stellenwert zukommt, da sie in der Regel unbefangener und zuverlässiger sind als spätere Darstellungen, die bewusst oder unbewusst von nachträglichen Überlegungen versicherungsrechtlicher oder anderer Art beeinflusst sind (BGE 121 V 45 E. 2a; VGer-Urteil VG.2024.00054 vom 21. November 2024 E. II/4.2, nicht publiziert, VG.2023.00042 vom 7. Dezember 2023 E. II/5.4.4, VG.2014.00023 vom 21. Mai 2014 E. II/4.3, nicht publiziert). Entsprechend ergibt sich unter Berücksichtigung der gesamten Aktenlage mit dem Grad der überwiegenden Wahrscheinlichkeit, dass die Beschwerdeführerin im massgebenden Zeitpunkt ein Vermögen über Fr. 100'000.- hatte.</w:t>
      </w:r>
    </w:p>
    <w:p>
      <w:r>
        <w:rPr>
          <w:b/>
        </w:rPr>
        <w:t>E. 5</w:t>
      </w:r>
    </w:p>
    <w:p>
      <w:r>
        <w:t>Zusammenfassend ist anhand der im Recht liegenden Belege sowie der in den Akten enthaltenen Aussagen der Beschwerdeführerin bzw. ihrer Bevollmächtigten mit überwiegender Wahrscheinlichkeit davon auszugehen, dass die Beschwerdeführerin die Vermögensschwelle gemäss Art. 9a Abs. 1 lit. a ELG am 1. März 2023 überschritten hat, weshalb die Beschwerdegegnerin ohne Recht zu verletzen einen Anspruch auf Ergänzungsleistungen verneinen durfte.</w:t>
      </w:r>
    </w:p>
    <w:p>
      <w:r>
        <w:t>Dies führt zur Abweisung der Beschwerde.</w:t>
      </w:r>
    </w:p>
    <w:p>
      <w:r>
        <w:t>III.</w:t>
      </w:r>
    </w:p>
    <w:p>
      <w:r>
        <w:t>Die Gerichtskosten sind von Gesetzes wegen auf die Staatskasse zu nehmen (Art. 1 Abs. 1 ELG i.V.m. Art. 61 lit. fbis ATSG e contrario). Ausgangsgemäss steht der Beschwerdeführerin sodann keine Parteientschädigung zu (Art. 1 Abs. 1 ELG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