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GL-1866 vom 3. Oktober 2024</w:t>
      </w:r>
    </w:p>
    <w:p>
      <w:r>
        <w:t>GL Gerichte, 2024-10-03, DE</w:t>
      </w:r>
    </w:p>
    <w:p>
      <w:r>
        <w:rPr>
          <w:b/>
        </w:rPr>
        <w:t xml:space="preserve">Quelle: </w:t>
      </w:r>
      <w:r>
        <w:t>https://mcp.opencaselaw.ch/entscheid/gl_gerichte_GL-1866</w:t>
      </w:r>
    </w:p>
    <w:p>
      <w:r>
        <w:t>FR: GL_GERICHTE GL-1866 du 3 octobre 2024</w:t>
      </w:r>
    </w:p>
    <w:p>
      <w:r>
        <w:t>IT: GL_GERICHTE GL-1866 del 3 ottobre 2024</w:t>
      </w:r>
    </w:p>
    <w:p>
      <w:pPr>
        <w:pStyle w:val="Heading2"/>
      </w:pPr>
      <w:r>
        <w:t>Erwägungen</w:t>
      </w:r>
    </w:p>
    <w:p>
      <w:r>
        <w:rPr>
          <w:b/>
        </w:rPr>
        <w:t>E. 1</w:t>
      </w:r>
    </w:p>
    <w:p>
      <w:r>
        <w:t>AA.______</w:t>
      </w:r>
    </w:p>
    <w:p>
      <w:r>
        <w:t>Beschwerdeführer</w:t>
      </w:r>
    </w:p>
    <w:p>
      <w:r>
        <w:rPr>
          <w:b/>
        </w:rPr>
        <w:t>E. 2</w:t>
      </w:r>
    </w:p>
    <w:p>
      <w:r>
        <w:t>Gemeinde Glarus</w:t>
      </w:r>
    </w:p>
    <w:p>
      <w:r>
        <w:rPr>
          <w:b/>
        </w:rPr>
        <w:t>E. 2.2</w:t>
      </w:r>
    </w:p>
    <w:p>
      <w:r>
        <w:t>2.2.1Art. 33 Abs. 3 lit. b RPG statuiert, dass das kantonale Recht die volle Überprüfung durch wenigstens eine Beschwerdeinstanz zu gewährleisten hat. Vor diesem Hintergrund sieht Art. 79 Abs. 1 RBG i.V.m. Art. 104 Abs. 1 VRG im vorliegenden Verwaltungsbeschwerdeverfahren die volle Kognition des Beschwerdegegners 3 vor. Damit ist aber lediglich dessen volle Überprüfungsbefugnis der vorgebrachten Rügen gemeint, wobei die Rechtssuchenden damit verbunden einen aus Art. 29 Abs. 2 der Bundesverfassung der Schweizerischen Eidgenossenschaft vom 18. April 1999 (BV) fliessenden Anspruch auf rechtliches Gehör haben, welche die Verpflichtung der Behörde beinhaltet, seinen Entscheid rechtsgenüglich zu begründen. Dabei ist es indessen nicht erforderlich, dass sie sich mit allen Parteistandpunkten einlässlich auseinandersetzt und jedes einzelne Vorbringen ausdrücklich widerlegt. Vielmehr kann sie sich auf die für den Entscheid wesentlichen Punkte beschränken. Die Begründung muss aber immerhin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(statt vieler: BGer-Urteil 1C_205/2023 vom 3. Januar 2024 E. 3.1).</w:t>
      </w:r>
    </w:p>
    <w:p>
      <w:r>
        <w:t>2.2.2Aus dem oben Dargelegten (vgl. vorstehende E. II/2.2.1) ergibt sich, dass der Beschwerdegegner 3 den vorinstanzlichen Entscheid trotz voller Kognition nicht unter sämtlichen in Frage kommenden Aspekten überprüfen musste. Entscheidend ist vielmehr, dass er den vorliegend angefochtenen Entscheid so abgefasst hat, dass sich die Beschwerdeführer über die Tragweite des Entscheids bewusst und zumindest in Kenntnis davon waren, worauf er, der Beschwerdegegner 3, seinen Entscheid stützt. Dies war vorliegend der Fall. So war es den Beschwerdeführern mit Blick auf die beim Verwaltungsgericht eingereichte Beschwerdeschrift offensichtlich möglich, den Entscheid des Beschwerdegegners 3 in voller Kenntnis der Sachlage weiterzuziehen. Sie vermögen ihren Standpunkt dabei klar aufzuzeigen und waren ohne Weiteres in der Lage, sich mit den entscheidrelevanten Erwägungen auseinanderzusetzen. Eine Verletzung der Begründungspflicht ist damit ebenso wenig zu erblicken, wie eine Missachtung der dem Beschwerdegegner 3 zustehenden Kognition.</w:t>
      </w:r>
    </w:p>
    <w:p>
      <w:r>
        <w:rPr>
          <w:b/>
        </w:rPr>
        <w:t>E. 3</w:t>
      </w:r>
    </w:p>
    <w:p>
      <w:r>
        <w:t>3.1Bezugnehmend auf den während des Vorverfahrens erfolgten Eigentümerwechsel betreffend die Parzelle-Nr. 01, Grundbuch [], machen die Beschwerdeführer alsdann geltend, es sei nicht aktenkundig, dass eine Zustimmung der neuen Grundeigentümerin vorliege. Der Beschwerdegegner 3 habe es unterlassen zu prüfen, ob die angebliche Überbindung eines Mietvertrags auf die neue Grundeigentümerin wirklich stattgefunden habe. Die Zustimmung eines Grundeigentümers lasse sich dabei nicht aus einem passiven Verhalten im Rahmen einer Beiladung herauslesen. Die Einhaltung einer Gültigkeitsvorschrift, namentlich die Unterschrift auf dem Plan, sei im Verwaltungsverfahren schriftlich nachzuweisen, was vorliegend unterlassen worden sei. Sodann hätten sie, die Beschwerdeführer, dadurch keine Möglichkeit gehabt, die Einhaltung der Gültigkeitsvorschrift zu überprüfen, was einer Verletzung des rechtlichen Gehörs gleichkomme. Jedenfalls sei in den Akten nie behauptet worden, dass die geplante Mobilfunkanlage in das Eigentum der neuen Grundeigentümerin übergehen solle. Es könne sich daher lediglich um eine Anlage bzw. Baute auf fremden Boden handeln, was nur in den gesetzlich vorgesehenen Fällen zulässig sei. Um deren Bestand dinglich zu sichern, seien die Vorschriften zu den Grenzabständen nach Art. 51 RBG analog anzuwenden. Ein bloss obligatorischer Mietvertrag genüge nicht. Sodann wäre zur dinglichen Sicherung der Rückbauverpflichtung gemäss kantonalem Richtplan eine Anmerkung im Grundbuch notwendig.</w:t>
      </w:r>
    </w:p>
    <w:p>
      <w:r>
        <w:rPr>
          <w:b/>
        </w:rPr>
        <w:t>E. 3.2</w:t>
      </w:r>
    </w:p>
    <w:p>
      <w:r>
        <w:t>3.2.1Gemäss Art. 76 Abs. 1 RBG wird die Baubewilligung erteilt, wenn das Bauvorhaben den öffentlich-rechtlichen Vorschriften entspricht. In diesem Sinne ist dem Baugesuch stattzugeben, wenn das Baugesuch die formellen Voraussetzungen erfüllt und dem öffentlich-rechtlichen Baupolizeirecht, den Vorschriften über die Raumplanung und den Umweltschutz sowie den weiteren öffentlich-rechtlichen Vorschriften entspricht. Dies ungeachtet von allfälligen privatrechtlichen Ansprüchen. Der Grundsatz, wonach Privat- und Verwaltungsrecht strikt zu trennen sind, wird dabei nur unter eingeschränkten Voraussetzungen durchbrochen. So können beispielsweise zivilrechtliche Vorfragen im Verwaltungsverfahren beantwortet werden, wenn die tatsächliche Verwirklichung des Vorhabens davon abhängt. Art. 641 des Schweizerischen Zivilgesetzbuchs vom 10. Dezember 1907 (ZGB) ermächtigt den Eigentümer einer Sache, in den Schranken der Rechtsordnung über sie zu verfügen. Daraus folgt, dass Bauvorhaben auf fremden Boden nur mit Zustimmung des betroffenen Grundeigentümers realisiert werden können. Für die Inanspruchnahme fremden Grundeigentums bedarf der Baugesuchsteller somit grundsätzlich der Zustimmung des betroffenen Grundeigentümers, die in der Regel durch dessen Unterschrift auf dem Baugesuch nachgewiesen wird. In diesem Sinne sieht Art. 9 Abs. 3 der Verordnung über den Vollzug der Raumentwicklungs- und Baugesetzgebung vom 7. Juni 2011 (RBGVV) vor, dass Pläne, Berichte und Nachweise zu datieren und vom Bauherrn, Grundeigentümer sowie vom Architekten oder Ingenieur zu unterzeichnen sind. Bei dieser Regelung handelt es sich um Ordnungsvorschriften, wobei die Bewilligungsinstanz lediglich zu einer summarischen Prüfung der privatrechtlichen Verhältnisse verpflichtet ist. Demgemäss darf sie sich auf die Prüfung beschränken, ob ein Bauvorhaben offenkundig Eigentumsrechte verletzen könnte (vgl. Christoph Fritzsche et al., Zürcher Planungs- und Baurecht, Bd. 1, Planungsrecht, Verfahren und Rechtsschutz, 7. A., Wädenswil 2024, S. 408 und 443).</w:t>
      </w:r>
    </w:p>
    <w:p>
      <w:r>
        <w:t>3.2.2Vorliegend hat die frühere Grundeigentümerin entsprechend Art. 9 Abs. 3 RBGVV die Pläne unterschrieben, was selbst von den Beschwerdeführern nicht bestritten wird. Sodann war die Beschwerdegegnerin 2 berechtigt, im Bewilligungsverfahren ihre Prüfung darauf zu beschränken, ob ein Bauvorhaben offenkundig Eigentumsrechte verletzt. Angesichts dessen, dass die neue Grundeigentümerin auf eine Stellungnahme als Beigeladene verzichtet hat, eine Unterschrift der früheren Grundeigentümerin vorliegt und es sich bei der Unterzeichnung lediglich um eine Ordnungsvorschrift handelt, welche nicht ohne Weiteres zu einem ungültigen oder nicht-bewilligungsfähigen Gesuch führt, durfte die Beschwerdegegnerin 2 die Baubewilligung erteilen. Es ist dementsprechend keine offenkundige Verletzung von Eigentumsrechten ersichtlich. Dies wird letztlich auch durch den Nachweis vom 3. Juni 2024 durch die B.______ deutlich, welcher eine allfällige Verletzung der Ordnungsvorschrift im vorliegenden Verfahren ohnehin heilen würde. Schliesslich kann den Beschwerdeführern nicht gefolgt werden, soweit sie die analoge Anwendung der Bestimmungen zu den Grenzabständen (Art. 51 RBG) geltend machen. Für eine solche besteht denn auch weder eine Rechtsgrundlage noch vermögen die Beschwerdeführer eine solche aufzuzeigen. Damit hat es an dieser Stelle sein Bewenden.</w:t>
      </w:r>
    </w:p>
    <w:p>
      <w:r>
        <w:rPr>
          <w:b/>
        </w:rPr>
        <w:t>E. 4</w:t>
      </w:r>
    </w:p>
    <w:p>
      <w:r>
        <w:t>4.1Die Beschwerdeführer rügen sodann, die Zulässigkeit einer nicht technisch bedingten Dachaufbaute sei vom Beschwerdegegner 3 zu grosszügig bejaht worden. Entgegen dessen Ansicht würden für Antennenanlagen die gleichen Vorschriften gelten, welche auch für andere entsprechende Bauten und Anlagen gelten würden. Gemäss dem Richtplan 2018 seien Optimierungen des Standorts hinsichtlich der Auswirkungen auf das Orts- und Landschaftsbild bei der Planung von Mobilfunkanlagen zu berücksichtigen. Die Gemeinden seien diesbezüglich in Zusammenarbeit mit den Konzessionären gefordert, geeignete Anlagestandorte zu bestimmen. Die Beschwerdegegnerin 2 habe die Kaskadenordnung gemäss dem Richtplan 2018, wonach mehrere kleine Antennen im Siedlungsgebiet gegenüber wenigen grossen Antennen zu bevorzugen seien, im Ergebnis nicht beachtet. Dies obwohl die Gemeinden die Grundsätze gemäss kantonalem Richtplan bei der Erteilung von Baubewilligungen für Mobilfunkanlagen zu berücksichtigen hätten.</w:t>
      </w:r>
    </w:p>
    <w:p>
      <w:r>
        <w:rPr>
          <w:b/>
        </w:rPr>
        <w:t>E. 4.2</w:t>
      </w:r>
    </w:p>
    <w:p>
      <w:r>
        <w:t>4.2.1Für die Errichtung von Mobilfunkanlagen darf weder ein Sach- noch ein Richtplan mit konkreten räumlichen und zeitlichen Vorgaben verlangt werden. Es fehlt dementsprechend eine gesetzliche Grundlage für eine Gesamtplanung. Für die Erstellung von Mobilfunkanlagen besteht innerhalb der Bauzone denn auch grundsätzlich keine Verpflichtung zur Prüfung von Alternativstandorten. Es braucht darüber hinaus auch keinen Bedürfnisnachweis oder eine Interessenabwägung (BGer-Urteil 1C_45/2023 vom 16. Januar 2024 E. 5.2 f., 1C_324/2022 vom 16. Juni 2023 E. 5.2, 1C_685/2013 vom 6. März 2015 E. 2.4, je mit Hinweisen). Sodann sind Richtpläne behördenverbindlich (Art. 9 Abs. 1 RPG, Art. 12 Abs. 1 RBG), wobei sie für Grundeigentümer weder Rechte noch Pflichten begründen (Art. 12 Abs. 2 RBG). Gemäss Lehre und Rechtsprechung begründet er keinen Vertrauensschutz und kein Rechtssicherheitsinteresse. Daraus folgt, dass allfällige Anfechtungsmöglichkeiten sich primär auf die Nutzungsplanung beziehen. Die Behördenverbindlichkeit impliziert dabei nicht, dass die Baubehörde bei der Überprüfung eines Baugesuchs auch die Vorgaben der Richtpläne zu beachten hätte. Andernfalls wären diese auch grundeigentümerverbindlich. Hieraus folgt, dass die Richtpläne aller Stufen (kantonal, regional, kommunal) im Rahmen von Planerlassen zu beachten sind und dergestalt in die grundeigentümerverbindlichen Nutzungsplanungen einfliessen. Entsprechend entfällt eine direkte Anwendung von Richtplänen im Baubewilligungsverfahren (Fritzsche, S. 150; vgl. auch Urteil des Verwaltungsgerichts des Kantons Zürich VB.2022.00648 vom 21. September 2023 E. 3 sowie VB.2017.00038 vom 2. März 2017 E. 2.2.3 f.; vgl. auch Urteil des Verwaltungsgerichts des Kantons Graubünden R 16 51 vom 10. Januar 2017 E. 5).</w:t>
      </w:r>
    </w:p>
    <w:p>
      <w:r>
        <w:t>4.2.2Soweit die Beschwerdeführer die Nichteinhaltung des Richtplans 2018  insbesondere die Handlungsanweisung E3-C/1  durch die Baukommission bei der Erteilung der Baubewilligung rügen, ist ihnen nicht zu folgen. Gemäss Handlungsanweisung E3-C/1 haben die Gemeinden die Grundsätze gemäss kantonalem Richtplan im Baubewilligungsverfahren für Mobilfunkanlagen zwar zu berücksichtigen. Ein direkt durchsetzbarer Anspruch einer Drittperson auf Einhaltung der entsprechenden Handlungsanweisung im Baubewilligungsverfahren resultiert daraus jedoch noch nicht. Wie oben dargelegt ist der Richtplan nämlich lediglich behördenverbindlich und vermag keine Rechte und Pflichten Dritten gegenüber zu begründen. Folgerichtig können sich die Beschwerdeführer auch nicht darauf berufen, andernfalls würde der Richtplan von einem Planungsinstrument zu einer direkt anwendbaren Rechtsgrundlage avancieren, was nicht dem gesetzgeberischen Willen entspricht. Sodann waren die Beschwerdegegner 2 und 3 im Hinblick auf die geplante Mobilfunkanlage nicht dazu gehalten, Alternativstandorte zu evaluieren. Entgegen der Ansicht der Beschwerdeführer besteht innerhalb der Bauzone sowohl von Bundesrechts wegen als auch gestützt auf kantonales Recht nämlich keine Verpflichtung zur Standortkoordination und zur Prüfung von Alternativstandorten (vgl. VGer-Urteil VG.2022.00084 vom 9. November 2023 E. II/6.3, mit Hinweisen). Daran vermag auch die richtplanerische Handlungsanweisung mangels direkter Anwendbarkeit im Baubewilligungsverfahren nichts zu ändern. Selbst wenn die richtplanerische Pflicht zur Berücksichtigung der Auswirkungen auf das Orts- und Landschaftsbild aber lediglich behördenverbindlich ist, ist der Vollständigkeit halber immerhin festzuhalten, dass die Beschwerdegegnerin 2 keine Beeinträchtigung des Ortsbilds erkannt hat, weshalb der Beschwerdegegner 3 denn auch nicht in die diesbezügliche Gemeindeautonomie eingegriffen hat (vgl. auch nachstehende E. II/6). Dies zu Recht. So steht der Beschwerdegegnerin 2 im Rahmen der Beurteilung von Baugesuchen nämlich ein erheblicher Ermessensspielraum zu, in welchen das Verwaltungsgericht nicht ohne Not eingreift. Eine solche besteht vorliegend nicht. So hielt die Beschwerdegegnerin 2 denn auch nachvollziehbar und plausibel fest, dass sich das Bauvorhaben selbst mit Blick auf dasjenige im Quartier C.______ in zentralen Anliegen (Höhe, Gestaltung) unterscheidet und den Aspekt der guten Gesamtwirkung gemäss Art. 47 Abs. 1 RBG erfüllt. Dass sie das ihr zustehende Ermessen hierbei missbraucht hat, vermögen die Beschwerdeführer weder darzutun noch ist dies anhand der im Recht liegenden Akten ersichtlich.</w:t>
      </w:r>
    </w:p>
    <w:p>
      <w:r>
        <w:rPr>
          <w:b/>
        </w:rPr>
        <w:t>E. 5</w:t>
      </w:r>
    </w:p>
    <w:p>
      <w:r>
        <w:t>5.1Die Beschwerdeführer machen weiter geltend, dass, selbst wenn es sich um eine zulässige Dachaufbaute handle, das zulässige Mass überschritten sei. Im Baugesuch des Quartiers C.______ vom 4. Mai 2021 habe die Beschwerdegegnerin 2 nämlich argumentiert, dass auch technisch bedingte Dachaufbauten zur Gesamthöhe zu zählen seien. Bezüglich kommunaler bzw. kantonaler Höhenvorschriften verkenne der Beschwerdegegner 3 darüber hinaus die Vorgaben im kantonalen Richtplan 2004 bzw. 2018. Insofern werde das Recht unrichtig angewendet und das Ermessen unterschritten.</w:t>
      </w:r>
    </w:p>
    <w:p>
      <w:r>
        <w:rPr>
          <w:b/>
        </w:rPr>
        <w:t>E. 5.2</w:t>
      </w:r>
    </w:p>
    <w:p>
      <w:r>
        <w:t>5.2.1Gemäss Art. 44 Abs. 1 der Bauverordnung vom 23. Februar 2011 (BauV) ist die Gesamthöhe der grösste Höhenunterschied zwischen dem höchsten Punkt der Dachkonstruktion und den lotrecht darunterliegenden Punkten auf dem massgebenden Terrain. Die Maximalhöhe von Dachaufbauten in der hier interessierenden Wohnzone W4 beträgt gemäss Art. 12 der Bauordnung der Gemeinde [] vom 23. September 2016 (BO []) 16.5 m. Nach Art.  14 Abs. 2 BO [] ist die Höhe von Dachaufbauten auf der bedeutendsten Strassenseite auf zwei Meter beschränkt. Bei der zur Strasse abgewandten Seite ist die Höhe nicht beschränkt. Gemäss höchstrichterlicher Rechtsprechung bedarf es dabei aber expliziter Vorschriften, wenn Mobilfunkantennen einschränkenden Planungsvorschriften unterstellt werden sollen. Insofern sind die allgemeinen Höhenbeschränkungen für Dachaufbauten auf Mobilfunkantennen nicht anwendbar. Dies führt indessen nicht dazu, dass jede Anlage auf jedem Gebäude  unabhängig von den Höhenbeschränkungen  bewilligungsfähig ist. Vielmehr haben die Mobilfunkanlagen auch dem Eingliederungsgebot zu genügen (vgl. zum Ganzen BGer-Urteil 1C_229/2011 vom 8. November 2011 E. 2.4.1 f.; vgl. auch nachstehende E. II/6).</w:t>
      </w:r>
    </w:p>
    <w:p>
      <w:r>
        <w:t>5.2.2Anders als die von den Beschwerdeführern erwähnte bernische Gesetzgebung kennen weder das kantonale noch das kommunale materielle Baurecht spezifische Regelungen zur zulässigen Höhe von Mobilfunkanlagen, weshalb hieraus kein Anspruch auf eine Höhenbeschränkung abgeleitet werden kann. Sodann begründen kantonale Richtpläne, wie bereits erwähnt (vgl. vorstehende E. II/4.2), keine Rechte und Pflichten, auf welche sich Grundeigentümer oder Dritte berufen können. Folglich kann lediglich aus eingliederungstechnischen Belangen eine allfällige Höhenbeschränkung resultieren.</w:t>
      </w:r>
    </w:p>
    <w:p>
      <w:r>
        <w:rPr>
          <w:b/>
        </w:rPr>
        <w:t>E. 6</w:t>
      </w:r>
    </w:p>
    <w:p>
      <w:r>
        <w:t>6.1Die Beschwerdeführer rügen mit Blick auf das Eingliederungsgebot eine Verletzung von Art. 64 Abs. 1 BO Glarus, worin eine ruhige Gestaltung der Dachlandschaft verlangt wird. Der Beschwerdegegner 3 habe diesbezüglich weder kommunale noch kantonale Vorschriften erkannt, welche Anwendung finden könnten. Er übersehe allerdings die Vorgaben im Richtplan 2004 bzw. 2018, wonach das darin verankerte Kaskadenprinzip bei der Auslegung zu berücksichtigen sei. Es handle sich vorliegend um eine grosse Anlage mit einer grossen Antenne, wozu sich der Beschwerdegegner 3 nicht geäussert habe. Dessen Erwägungen zur Dachgestaltung verletze insbesondere den Grundsatz der Rechtsgleichheit, weil die Beschwerdegegnerin 2 im Entscheid zum Baugesuch C.______ vom [] den kantonalen Richtplan explizit beachtet habe, den richtplanerischen Grundsatz klein vor gross umgesetzt und ihr Ermessen im Bereich Orts- und Landschaftsbild in einem ruhigen Wohnquartier ausgeübt habe. Insbesondere habe der Beschwerdegegner 3 ausser Acht gelassen, dass das Gelände ab der Liegenschaft D.______ in Richtung [] ansteige und sich der angebliche Kamin, von der Liegenschaft E.______ aus gesehen, keineswegs ruhig in die Dachlandschaft einfüge.</w:t>
      </w:r>
    </w:p>
    <w:p>
      <w:r>
        <w:rPr>
          <w:b/>
        </w:rPr>
        <w:t>E. 6.2</w:t>
      </w:r>
    </w:p>
    <w:p>
      <w:r>
        <w:t>6.2.1Gemäss Art. 47 Abs. 1 RBG sind Bauten und Anlagen so in ihre bauliche und landschaftliche Umgebung einzufügen, dass eine gute Gesamtwirkung entsteht. Erhöhten Anforderungen hinsichtlich Gestaltung und Einordnung haben Bauten und Anlagen in der Umgebung von geschützten, schützenswerten und erhaltenswerten Objekten zu genügen (Abs. 2). Verlangt das Gesetz ausdrücklich eine positiv gute Gestaltung zur Sicherstellung einer befriedigenden Gesamtwirkung, so dürfen strengere Massstäbe angelegt werden, welche jedoch objektiven Kriterien zu folgen haben (BGer-Urteil 1P.280/2002 vom 28. Oktober 2002 E. 3.3). Nichtsdestotrotz können gestützt auf eine solche Bestimmung keine architektonischen Sonderleistungen erwartet werden, da lediglich eine gute Gesamtwirkung gefordert wird, die sich an einem Durchschnittsmassstab orientiert (Christoph Fritzsche et al., Zürcher Planungs- und Baurecht, Bd. 2, Bau- und Umweltrecht, 7. A., Wädenswil 2024, S. 1030). Durchschnittlich dimensionierte Mobilfunkanlagen sind unter dem Gesichtspunkt der Einordnung in der Regel zuzulassen, sofern nicht individuelle Schutzobjekte tangiert werden oder sonst wie spezielle Verhältnisse vorliegen. Die Interessenabwägung mit den Zielen der Fernmeldegesetzgebung führt dazu, dass eine durchschnittlich dimensionierte Mobilfunkanlage in einer durchschnittlichen Wohnzone ohne Weiteres zugelassen werden muss (BGE 141 II 245 E. 7.4). Bei der Anwendung des Begriffs "gute Gesamtwirkung" kommt den kommunalen Behörden aufgrund der ihnen zustehenden Gemeindeautonomie (Art. 51 BV i.V.m. Art. 119 Abs. 1 der Verfassung des Kantons Glarus vom 1. Mai 1988 [KV GL]) ein qualifizierter Beurteilungsspielraum zu (BGer-Urteil 1C_39/2012 vom 2. Mai 2012 E. 2.3.2).Eine allfällig zu beurteilende Rechtsgleichheit ist dann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(BGE 125 I 173 E. 6b).</w:t>
      </w:r>
    </w:p>
    <w:p>
      <w:r>
        <w:t>6.2.2Soweit sich die Beschwerdeführer auf den Richtplan beziehen, ist erneut festzuhalten, dass dieser, anders als der Nutzungsplan, keine Rechte und Pflichten gegenüber Grundeigentümern oder Dritten begründet (vgl. vorstehende E. II/4.2). Sodann handelt es sich vorliegend unbestrittenermassen nicht um eine Baute in der Umgebung von geschützten, schützenswerten und erhaltenswerten Objekten, weshalb keine allzu hohen Anforderungen hinsichtlich Gestaltung und Einordnung zu stellen sind. Es sind darüber hinaus auch keine speziellen Verhältnisse ersichtlich, die eine durchschnittlich dimensionierte Mobilfunkanlage aufgrund des Ortsbildschutzes nicht zulassen würden. Ferner können sich die Beschwerdeführer vorliegend nicht auf den Rechtsgleichheitsgrundsatz berufen. In dem von ihnen vorgebrachten Entscheid zum Baugesuch C.______ vom [] ging es, anders als im vorliegenden Verfahren, nämlich darum, dass die Behörde einen bereits unrechtmässigen Zustand nicht schützte. Daher fehlt es bereits an der Voraussetzung der Gleichheit des Sachverhalts. Schliesslich unterscheidet sich auch der streitbetroffene Neubau hinsichtlich Gestaltung und Höhe massgeblich von demjenigen im Quartier C.______. Eine Missachtung des Rechtgleichheitsgrundsatzes ist damit nicht erstellt.</w:t>
      </w:r>
    </w:p>
    <w:p>
      <w:r>
        <w:rPr>
          <w:b/>
        </w:rPr>
        <w:t>E. 7</w:t>
      </w:r>
    </w:p>
    <w:p>
      <w:r>
        <w:t>7.1Die Beschwerdeführer führen weiter aus, der Beschwerdegegner 3 wende nur eine Einzelfallbetrachtung für die zu beurteilende Mobilfunkantenne an und blende dadurch die vom kantonalen Richtplan verlangte Gesamtbetrachtung völlig aus. Die Beschwerdegegnerin 2 habe im Entscheid zum Baugesuch C.______ vom [] noch argumentiert, die Antenne steche aus dem ruhigen Landschafts- und Ortsbild massiv heraus und wirke als Fremdkörper. Zudem habe sie keinen alternativen Standort geprüft. Vorliegend würden allerdings die vom kantonalen Richtplan verlangten Abklärungskriterien zur Optimierung des Standorts hinsichtlich der Auswirkungen auf das Orts- und Landschaftsbild mit aufgezeigten Alternativen fehlen. Gemäss Bundesgericht könnten die Kantone im Rahmen von kantonalen Planungsmassnahmen verlangen, dass eine Mobilfunkanlage in ihren Dimensionen und ihrer Leistungsfähigkeit der in einer reinen Wohnzone üblichen Ausstattung entspricht. Das im Richtplan verankerte Kaskadenprinzip fülle genau den vom Bundesgericht eröffneten Handlungsspielraum aus und sei dementsprechend vorliegend zu beachten.</w:t>
      </w:r>
    </w:p>
    <w:p>
      <w:r>
        <w:t>7.2Bezüglich der Verbindlichkeit des Richtplans und des Rechtsgleichheitsgrundsatzes kann auf das bereits Dargelegte verwiesen werden. Ein Vergleich mit dem Entscheid zum Baugesuch C.______ scheitert, wie ebenfalls bereits ausgeführt, an der Gleichheit des Sachverhalts. Ferner gewähren die massgebenden Bestimmungen den kommunalen Behörden ein erhebliches Ermessen. Dieses wurde bei der vorliegenden Beurteilung gegenüber derjenigen im Quartier C.______ nicht missbraucht, zumal die kommunale Baubehörde plausible Gründe für die Gewährung des Baugesuchs vorzubringen vermag (vgl. vorstehende E. II/4.2 und II/6.2).</w:t>
      </w:r>
    </w:p>
    <w:p>
      <w:r>
        <w:rPr>
          <w:b/>
        </w:rPr>
        <w:t>E. 8</w:t>
      </w:r>
    </w:p>
    <w:p>
      <w:r>
        <w:t>8.1Die Beschwerdeführer stellen sich weiter auf den Standpunkt, der vom Richtplan 2004 geforderte Leitfaden zur Errichtung von Mobilfunk-Basisstationen (insbesondere Kapitel E5-3) sei nie erlassen worden. Ebenso wenig sei der Kanton seiner Koordinationspflicht unter den Mobilfunkbetreibern nachgekommen. Entgegen der Stellungnahme der Abteilung Umweltschutz und Energie vom 14. Juli 2023 könne sich der Kanton seiner Aufgabe nicht entledigen, indem er auf den Leitfaden des Bundesamts für Umwelt für Gemeinden und Städte verweise. Bis der Kanton seine Koordinationsaufgabe (Richtungsweisende Festlegung zu E3-B/1 Mobilfunkversorgung im Richtplan 2018) erfüllt habe, müssten die Gemeinden im Siedlungsgebiet mehreren kleinen Anlagen den Vorzug gegenüber weniger grossen Antennen geben. Dies sei weder im Bewilligungsentscheid noch vom Beschwerdegegner 3 umgesetzt worden. Sodann gestehe Letzterer zu, keine Vereinbarung betreffend Dialogmodell mit den Mobilfunkbetreiberinnen abgeschlossen zu haben. Er weigere sich somit, den vom Landrat und vom Bundesrat genehmigten Richtplan umzusetzen. Diese Rechtsverweigerung könne nicht ohne Folgen bleiben und verletze zudem die Rechtsweggarantie. Insbesondere könne dem Bürger nicht entgegengehalten werden, es gebe keine anwendbaren planungsrechtlichen Vorschriften, wenn sich die Behörde jahrelang weigere, das Recht umzusetzen. In einem solchen Fall seien die Vorgaben des kantonalen Richtplans im Baubewilligungsverfahren auch dann durchzusetzen, wenn der Kanton und die Gemeinde keine einschlägigen Bestimmungen erlassen hätten.</w:t>
      </w:r>
    </w:p>
    <w:p>
      <w:r>
        <w:rPr>
          <w:b/>
        </w:rPr>
        <w:t>E. 8.2</w:t>
      </w:r>
    </w:p>
    <w:p>
      <w:r>
        <w:t>8.2.1Eine Rechtsverweigerung liegt vor, wenn eine Gerichts- oder Verwaltungsbehörde untätig bleibt. Ebenfalls als Rechtverweigerung gilt das unrechtmässige Nichteintreten, die Nichtbeurteilung einzelner Begehren, die unzulässige Einschränkung der Kognition, die Verletzung des rechtlichen Gehörs sowie die überspitzte Handhabung von formellenVorschriften (vgl.BGer-Urteil 1B_579/2020 vom 3. Februar 2021 E. 3,1C_23/2020 vom 5. Januar 2021 E. 4.3,5D_125/2020 vom29. Juni 2020 E. 3).Vorausgesetzt ist, dass ein Anspruch auf ein Tätigwerden der Behörde bzw. des Gerichts besteht.</w:t>
      </w:r>
    </w:p>
    <w:p>
      <w:r>
        <w:t>8.2.2Wie bereits dargelegt, begründet der Richtplan keine Rechte und Pflichten für Grundeigentümer. Folglich können sich die Beschwerdeführer auch nicht auf eine diesbezügliche Rechtsverweigerung berufen. Das Dialogmodell ermöglicht es den Gemeinden sodann aktiv Einfluss auf zukünftige Standorte von Mobilfunkantennen zu nehmen, sofern eine Vereinbarung über ein solches Modell abgeschlossen wurde. Ein eingereichtes Baugesuch ist dennoch ausschliesslich nach den massgeblichen Gesetzesvorschriften zu beurteilen, wobei eine Vereinbarung über ein Dialogmodell die gesetzlichen Regelungen weder zu ersetzen noch zu verhindern vermag (vgl. hierzu den Entscheid des Baurekursgerichts des Kantons Zürich [BRGE III] Nr. 0091/2021 vom 14. Juli 2021 E. 9.2). Vorliegend ist die Beschwerdegegnerin 2 weder zum Abschluss des Dialogmodells verpflichtet noch wurde ein solches vereinbart. Indem sich die Behörden auf die gesetzlichen Bestimmungen stützten und den ihnen zustehenden Ermessensspielraum eingehalten haben, ist keine Rechtsverweigerung zu erkennen.</w:t>
      </w:r>
    </w:p>
    <w:p>
      <w:r>
        <w:rPr>
          <w:b/>
        </w:rPr>
        <w:t>E. 9</w:t>
      </w:r>
    </w:p>
    <w:p>
      <w:r>
        <w:t>9.1Die Beschwerdeführer bringen ferner vor, der Beschwerdegegner 3 reduziere den Beschluss E3-B/2 zum Ausbau von Mobilfunkanlagen im kantonalen Richtplan (Seite E/15) auf Belange der Ortsbildgestaltung. Entgegen dessen Ansicht räume das Bundesrecht den Kantonen aber auch ausserhalb der Ortsbildgestaltung einen Handlungsspielraum ein. Darüber hinaus gelte der Grundsatz gross vor klein im ganzen Siedlungsgebiet. Dies unabhängig vom Ortsbildschutz. Die vom Richtplan 2018 geforderte Bevorzugung von mehreren kleinen Anlagen bzw. Antennen im Siedlungsgebiet sei bedingungslos. Dies im Gegensatz zu demjenigen Titel, welcher sich auf das Orts- und Landschaftsbild beziehe.</w:t>
      </w:r>
    </w:p>
    <w:p>
      <w:r>
        <w:t>9.2Die Festlegungen im Richtplan 2018 (Kapitel E3 Mobilfunkanlagen) sind zwar in der Nutzungsplanung, nicht aber bedingungslos im Baubewilligungsverfahren umzusetzen. Die Grundsätze beschreiben lediglich den Rahmen, in welchem die Gemeinden ihr Planungsermessen auszuüben haben, was deren Entscheidungen keineswegs abschliessend zu bestimmen vermag (Pierre Tschannen in: Heinz Aemisegger et al. [Hrsg.], Praxiskommentar RPG, Richt- und Sachplanung, Interessenabwägung, Zürich/Basel/Genf 2019, Art. 9 N. 6). Dementsprechend verpflichten die von den Beschwerdeführern angerufenen Stellen im Richtplan die Behörden nicht bedingungslos, womit die Rüge der Beschwerdeführer im Ergebnis ins Leere zielt.</w:t>
      </w:r>
    </w:p>
    <w:p>
      <w:r>
        <w:rPr>
          <w:b/>
        </w:rPr>
        <w:t>E. 10</w:t>
      </w:r>
    </w:p>
    <w:p>
      <w:r>
        <w:t>10.1Schliesslich stellen sich die Beschwerdeführer auf den Standpunkt, es sei ihnen nicht möglich gewesen, die vom kantonalen Richtplan plötzlich abweichende Rechtsanwendung durch die Beschwerdegegnerin 2 und die Fortschreibung der Nichtanwendung des kantonalen Richtplans durch den Beschwerdegegner 3 vorauszusehen. Insofern sei der Grundsatz von Treu und Glauben verletzt. Sie, die Beschwerdeführer, würden sich deshalb dazu veranlasst sehen, sowohl den Kanton als auch die Gemeinde anhalten zu lassen, den kantonalen Richtplan umzusetzen.</w:t>
      </w:r>
    </w:p>
    <w:p>
      <w:r>
        <w:t>10.2Art. 9 Abs. 1 RPG hält fest, dass Richtpläne behördenverbindlich sind. Die Behördenverbindlichkeit führt jedoch nicht dazu, dass die Baubehörde bei der Überprüfung eines Baugesuchs auch die Vorgaben der Richtpläne zu beachten hätte, andernfalls diese auch grundeigentümerverbindlich wären. Diese Eigenschaften kommt, wie bereits dargelegt, den Richtplänen aber gerade nicht zu. Vielmehr sind die Richtpläne aller Stufen (kantonal, regional, kommunal) im Rahmen von Planerlassen zu beachten und müssen dergestalt in die grundeigentümerverbindlichen Nutzungsplanungen einfliessen. Demnach entfällt eine direkte Anwendung von Richtplänen im Baubewilligungsverfahren (vgl. vorstehende E. II/4.2.1). Sofern sich die Beschwerdeführer darauf berufen, sie hätten die Nichtanwendung des kantonalen Richtplans nicht voraussehen können, kann ihnen nicht gefolgt werden. Den Beschwerdeführern hätte nicht zuletzt mit Blick auf die bundesrechtlichen Bestimmungen (vgl. insbesondere Art. 9 Abs. 1 RPG) klar sein müssen, dass der Richtplan im Bewilligungsverfahren keine direkte Anwendung findet. Der Grundsatz von Treu und Glaube ist somit nicht verletzt.</w:t>
      </w:r>
    </w:p>
    <w:p>
      <w:r>
        <w:rPr>
          <w:b/>
        </w:rPr>
        <w:t>E. 11</w:t>
      </w:r>
    </w:p>
    <w:p>
      <w:r>
        <w:t>Zusammenfassend wird im Baubewilligungsverfahren der Nutzungsplan im Einzelfall als Akt der Rechtsanwendung umgesetzt. Dabei ist er aber nicht Teil der Planung, auf welche das Kapitel E3-B/2 im Richtplan 2018 Bezug nimmt. Dementsprechend spielt der Richtplan im Baubewilligungsverfahren nur eine untergeordnete Rolle, wobei ihm noch am ehesten bei der Beurteilung von Ausnahmebewilligungen grössere Bedeutung zukommt (vgl. Tschannen, Art. 9 N. 34). Einen direkten Anspruch zu Gunsten einer Drittperson verleiht er im Baubewilligungsverfahren indessen nicht, da er als Planungsinstrument lediglich behördenverbindlich ist und nur (aber immerhin) vorgibt, in welchem Rahmen der Nutzungsplan umzusetzen ist. Ist der Richtplan einer gerichtlichen Kontrolle nicht zugänglich, so kann auch dessen Umsetzung nicht Gegenstand einer solchen Überprüfung sein. Daraus folgt, dass die Beschwerdeführer aus dem Inhalt des Richtplans nichts zu ihren Gunsten abzuleiten vermögen. Darüber hinaus sind bei der Beurteilung des streitbetroffenen Bauvorhabens weder formelle Fehler ersichtlich noch wurden die massgebenden materiell-rechtlichen Gesetzesbestimmungen verletzt. Der vorliegend angefochtene Entscheid ist im Ergebnis somit nicht zu beanstanden.</w:t>
      </w:r>
    </w:p>
    <w:p>
      <w:r>
        <w:t>Dies führt zur Abweisung der Beschwerde.</w:t>
      </w:r>
    </w:p>
    <w:p>
      <w:r>
        <w:t>III.</w:t>
      </w:r>
    </w:p>
    <w:p>
      <w:r>
        <w:t>1.</w:t>
      </w:r>
    </w:p>
    <w:p>
      <w:r>
        <w:t>Nach Art. 134 Abs. 1 lit. c VRG hat die Partei, welche im Beschwerde-, Klage- oder Revisionsverfahren unterliegt, die amtlichen Kosten zu tragen. Ausgangsgemäss sind die Gerichtskosten von pauschal Fr. 3'000.- den Beschwerdeführern aufzuerlegen und mit dem von ihnen bereits geleisteten Kostenvorschuss in gleicher Höhe zu verrechnen.</w:t>
      </w:r>
    </w:p>
    <w:p>
      <w:r>
        <w:t>2.</w:t>
      </w:r>
    </w:p>
    <w:p>
      <w:r>
        <w:t>Die Beschwerdegegnerin 1 ist eine juristische Person, welche den vorliegenden Prozess durch einen im eigenen Rechtsdienst angestellten Rechtsanwalt führen liess. Da sie als obsiegende Partei lediglich dann Anspruch auf eine Parteientschädigung hat, wenn sie durch eine externe Anwältin oder durch einen externen Anwalt vertreten ist, steht ihr somit keine Parteientschädigung zu (vgl. BGer-Urteile 2C_899/2008 vom 18. Juni 2009 E. 5.2, 2A.191/2005 vom 2. September 2005 E. 6, 1A.86/2003 vom 15. Dezember 2003 E. 6.2, je mit Hinweisen; Arnold Rusch/Adrian Fischbacher, Entschädigung des anwaltlichen Prozessierens in eigener Sache und verwandter Formen, in: AJP 2019 S. 686 ff., 688; Lukas Müller/Sandro E. Obrist/Patrik Odermatt, Streitpunkt Parteientschädigung, Das Kriterium der Notwendigkeit bei berufsmässiger Vertretung zur Bestimmung der Parteientschädigung, in: AJP 2018 S. 979 ff., 982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