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GL-1841 vom 27. Juni 2024</w:t>
      </w:r>
    </w:p>
    <w:p>
      <w:r>
        <w:t>GL Gerichte, 2024-06-27, DE</w:t>
      </w:r>
    </w:p>
    <w:p>
      <w:r>
        <w:rPr>
          <w:b/>
        </w:rPr>
        <w:t xml:space="preserve">Quelle: </w:t>
      </w:r>
      <w:r>
        <w:t>https://mcp.opencaselaw.ch/entscheid/gl_gerichte_GL-1841</w:t>
      </w:r>
    </w:p>
    <w:p>
      <w:r>
        <w:t>FR: GL_GERICHTE GL-1841 du 27 juin 2024</w:t>
      </w:r>
    </w:p>
    <w:p>
      <w:r>
        <w:t>IT: GL_GERICHTE GL-1841 del 27 giugno 2024</w:t>
      </w:r>
    </w:p>
    <w:p>
      <w:pPr>
        <w:pStyle w:val="Heading2"/>
      </w:pPr>
      <w:r>
        <w:t>Erwägungen</w:t>
      </w:r>
    </w:p>
    <w:p>
      <w:r>
        <w:rPr>
          <w:b/>
        </w:rPr>
        <w:t>E. 1</w:t>
      </w:r>
    </w:p>
    <w:p>
      <w:r>
        <w:t>Steuerverwaltung des Kantons Glarus</w:t>
      </w:r>
    </w:p>
    <w:p>
      <w:r>
        <w:t>Beschwerdegegnerinnen</w:t>
      </w:r>
    </w:p>
    <w:p>
      <w:r>
        <w:rPr>
          <w:b/>
        </w:rPr>
        <w:t>E. 2</w:t>
      </w:r>
    </w:p>
    <w:p>
      <w:r>
        <w:t>Steuerrekurskommission des Kantons Glarus</w:t>
      </w:r>
    </w:p>
    <w:p>
      <w:r>
        <w:rPr>
          <w:b/>
        </w:rPr>
        <w:t>E. 3</w:t>
      </w:r>
    </w:p>
    <w:p>
      <w:r>
        <w:t>3.1Eine rechtskräftige Verfügung oder ein rechtskräftiger Entscheid kann gemäss Art. 147 Abs. 1 DBG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wenn ein Verbrechen oder ein Vergehen die Verfügung oder den Entscheid beeinflusst hat (lit. c). Die Revision ist ausgeschlossen, wenn der Antragsteller als Revisionsgrund vorbringt, was er bei der ihm zumutbaren Sorgfalt schon im ordentlichen Verfahren hätte geltend machen können (Art. 147 Abs. 2 DBG).</w:t>
      </w:r>
    </w:p>
    <w:p>
      <w:r>
        <w:t>3.2Derselbe Steuerpflichtige darf für dieselbe Einkunft und dieselbe Steuerperiode nur einmal mit der direkten Bundessteuer belastet werden (vgl. Art. 127 Abs. 3 BV). Vorausgesetzt ist dabei grundsätzlich, dass die Doppelbesteuerung dasselbe Steuersubjekt betrifft, wobei hierauf praxisgemäss verzichtet wird, wenn wirtschaftlich identische Steuerobjekte bei wirtschaftlich in besonderer Weise miteinander verbundenen Subjekten besteuert werden, so zum Beispiel bei Schwestergesellschaften. Die Doppelbesteuerung muss jedoch aktuell und nicht bloss virtuell sein, das heisst, die Empfängerin muss für den empfangenen Vorteil bereits veranlagt worden sein. Die Aufrechnung bei der zuwendenden Gesellschaft bedeutet für die Veranlagung der bevorteilten Gesellschaft eine erhebliche Tatsache, die sie im ordentlichen Verfahren nicht hätte geltend machen können. Denn erst die aus der Aufrechnung resultierende aktuelle und nicht bereits die virtuelle Doppelbesteuerung verleiht einen Anspruch aus Art. 127 Abs. 3 BV. Eine revisionsweise Gegenberichtigung setzt in jedem Fall voraus, dass sich das Verhalten der beteiligten Gesellschaften nicht als geradezu rechtsmissbräuchlich oder treuwidrig präsentiert (vgl. BGer-Urteil 2C_597/2019 vom 14. April 2022 E. 3.2 f., mit Hinweisen).</w:t>
      </w:r>
    </w:p>
    <w:p>
      <w:r>
        <w:rPr>
          <w:b/>
        </w:rPr>
        <w:t>E. 4</w:t>
      </w:r>
    </w:p>
    <w:p>
      <w:r>
        <w:t>4.1Vorliegend haben die Beschwerdegegnerinnen eine Revision unter anderem deshalb verneint, weil die Beschwerdeführerin den Revisionsgrund bereits im ordentlichen Verfahren hätte geltend machen können. Dies trifft mit Blick auf das oben Dargelegte (vgl. vorstehende E. II/3.2) nicht zu, da erst die definitive Veranlagung der Tochtergesellschaft im Kanton Solothurn vom 12. Januar 2023 Anlass zur Revision gegeben hat (vgl. Martin E. Looser, in Martin Zweifel/Michael Beusch[Hrsg.], Kommentar zum Schweizerischen Steuerrecht, Bundesgesetz über die direkte Bundessteuer, 4. A., Basel 2022, Art. 147 N. 23d). Der Beschwerdeführerin stand die Möglichkeit der Revision damit grundsätzlich offen. Die Beschwerdegegnerinnen stellten sich jedoch zusätzlich auf den Standpunkt, dass das Verhalten der Beschwerdeführerin rechtsmissbräuchlich sei, was nachfolgend zu prüfen ist.</w:t>
      </w:r>
    </w:p>
    <w:p>
      <w:r>
        <w:rPr>
          <w:b/>
        </w:rPr>
        <w:t>E. 4.2</w:t>
      </w:r>
    </w:p>
    <w:p>
      <w:r>
        <w:t>4.2.1Die Beschwerdeführerin macht geltend, es habe keine unrechtmässige Gewinnverschiebung stattgefunden. Im Zusammenhang mit dem streitbetroffenen Verkauf von Maschinen sei der Betrag von Fr. 1'000'000.- Teil eines Gesamtgeschäfts mit der Tochtergesellschaft gewesen, welches als ausgeglichen zu gelten habe. Dies widerspricht indessen der Darstellung des Steueramts des Kantons Solothurn, welches in der Veranlagung der Tochtergesellschaft von einem unterpreislichen Verkauf der Maschinen und damit von einem unausgeglichenen Geschäft ausgegangen ist. Die Beschwerdeführerin hat diese Darstellung einer verdeckten Gewinnausschüttung denn auch selbst als Argument für die Herabsetzung des steuerbaren Reingewinns im Kanton Glarus angeführt. Sie wich hiervon in späteren Eingaben aber wieder ab, womit ihre Ausführungen insgesamt inkonsistent erscheinen. Die Darstellung des Steueramts des Kantons Solothurn blieb von ihr bzw. der Tochtergesellschaft unbestrittenermassen unangefochten. Dabei vertrat der beteiligte Treuhänder sowohl die Beschwerdeführerin als auch die Tochtergesellschaft, womit selbst der Beschwerdeführerin die relevanten Tatsachen bekannt gewesen sein mussten. Aus dem Gesagten folgt, dass die Darstellung des Steueramts des Kantons Solothurn glaubhafter und wahrscheinlicher erscheint, weshalb die von der Beschwerdeführerin vorgebrachte alternative Darstellung vorliegend unberücksichtigt zu bleiben hat. Dies gilt umso mehr, als dass die von ihr geltend gemachten weiteren Aspekte der vertraglichen Beziehungen gemäss derselben im Jahr 2022 und damit vor der definitiven Veranlagung durch das Steueramt des Kanton Solothurn geklärt gewesen seien. Dass Letzteres die streitbetroffene Aufrechnung bereits im Jahr 2019 vorgenommen hätte, ändert indessen nichts an der Tatsache, dass die Beschwerdeführerin zum Zeitpunkt der definitiven Veranlagung durch das Steueramt des Kantons Solothurn im Jahr 2023 ihre alternative Darstellung hätte vorbringen können, was sie aber unterlassen hat.</w:t>
      </w:r>
    </w:p>
    <w:p>
      <w:r>
        <w:t>4.2.2Aus dem Gesagten folgt, dass der Darstellung des Steueramts des Kantons Solothurn gefolgt werden kann, wonach wegen einem unterpreislichen Verkauf einer Maschine eine geldwerte Leistung in der Höhe von Fr. 1'000'000.- aufgerechnet werden musste. Dementsprechend wurde im zugrunde liegenden Rechtsgeschäft ein offensichtlich zu tiefer Kaufpreis eingesetzt, welcher einem Drittvergleich nicht standhält (vgl. dazu allgemein BGer-Urteile 2C_716/2022 vom 15. November 2022, 2C_913/2020 vom 14. April 2021). In Bezug auf die Kantons- und Gemeindesteuern liegt demgemäss ein rechtsmissbräuchliches Verhalten vor, weshalb der Beschwerdeführerin das Institut der Revision nicht zur Verfügung steht (vgl. VGer-Urteil VG.2024.00024 vom 27. Juni 2024 E. II/4.2.2). Da sowohl die Steuerdeklaration als auch das Revisionsgesuch für die beiden Steuerarten gemeinsam bzw. einheitlich erfolgt sind, steht die Revision damit auch für die direkte Bundessteuer nicht offen (vgl. zum Ganzen BGer-Urteil 2C_597/2019 vom 14. April 2022 E. 3.5).</w:t>
      </w:r>
    </w:p>
    <w:p>
      <w:r>
        <w:t>Dies führt zur Abweisung der Beschwerde.</w:t>
      </w:r>
    </w:p>
    <w:p>
      <w:r>
        <w:t>III.</w:t>
      </w:r>
    </w:p>
    <w:p>
      <w:r>
        <w:t>1.</w:t>
      </w:r>
    </w:p>
    <w:p>
      <w:r>
        <w:t>Nach Art. 145 Abs. 2 i.V.m. Art. 144 Abs. 1 DBG hat die Partei, welche im Beschwerdeverfahren unterliegt, die amtlichen Kosten zu tragen. Entsprechend dem Ausgang des Verfahrens sind die Gerichtskosten in der Höhe von pauschal Fr. 1'500.- der Beschwerdeführerin aufzuerlegen und mit dem von ihr bereits geleisteten Kostenvorschuss in gleicher Höhe zu verrechnen.</w:t>
      </w:r>
    </w:p>
    <w:p>
      <w:r>
        <w:t>2.</w:t>
      </w:r>
    </w:p>
    <w:p>
      <w:r>
        <w:t>Ausgangsgemäss ist der Beschwerdeführerin keine Parteientschädigung zuzusprechen (Art. 145 Abs. 2 DBG i.V.m. Art. 144 Abs. 4 DBG i.V.m. Art. 64 Abs. 1 des Bundesgesetzes über das Verwaltungsverfahren vom 20. Dezember 1968 [VwVG] e contrario). Soweit die Beschwerdegegnerin 1 eine solche beantragt, ist sie darauf hinzuweisen, dass die Beantwortung von Rechtsmitteln zu ihrem angestammten Aufgabenbereich gehört, weshalb Behörden in der Regel keine Parteientschädigung zugesprochen wird (vgl. Lukas Müller, in Bernhard Waldmann/Patrick L. Krauskopf[Hrsg.], Praxiskommentar Verwaltungsverfahrensgesetz, 3. A., Zürich/Genf 2023, Art. 64 N. 14). Es bestehen keine Gründe, vorliegend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