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GL-1821 vom 26. Januar 2024</w:t>
      </w:r>
    </w:p>
    <w:p>
      <w:r>
        <w:t>GL Gerichte, 2024-01-26, DE</w:t>
      </w:r>
    </w:p>
    <w:p>
      <w:r>
        <w:rPr>
          <w:b/>
        </w:rPr>
        <w:t xml:space="preserve">Quelle: </w:t>
      </w:r>
      <w:r>
        <w:t>https://mcp.opencaselaw.ch/entscheid/gl_gerichte_GL-1821</w:t>
      </w:r>
    </w:p>
    <w:p>
      <w:r>
        <w:t>FR: GL_GERICHTE GL-1821 du 26 janvier 2024</w:t>
      </w:r>
    </w:p>
    <w:p>
      <w:r>
        <w:t>IT: GL_GERICHTE GL-1821 del 26 gennaio 2024</w:t>
      </w:r>
    </w:p>
    <w:p>
      <w:pPr>
        <w:pStyle w:val="Heading2"/>
      </w:pPr>
      <w:r>
        <w:t>Erwägungen</w:t>
      </w:r>
    </w:p>
    <w:p>
      <w:r>
        <w:rPr>
          <w:b/>
        </w:rPr>
        <w:t>E. 2</w:t>
      </w:r>
    </w:p>
    <w:p>
      <w:r>
        <w:t>B.______</w:t>
      </w:r>
    </w:p>
    <w:p>
      <w:r>
        <w:t>Beschwerdegegner</w:t>
      </w:r>
    </w:p>
    <w:p>
      <w:r>
        <w:rPr>
          <w:b/>
        </w:rPr>
        <w:t>E. 3</w:t>
      </w:r>
    </w:p>
    <w:p>
      <w:r>
        <w:t>Mit Beschwerde können in Bezug auf den angefochtenen Entscheid Rechtsver­letzungen und eine unvollständige oder unrichtige Feststellung des Sachverhalts sowie Unangemessenheit gerügt werden (Art. 393 Abs. 2 StPO).</w:t>
      </w:r>
    </w:p>
    <w:p>
      <w:r>
        <w:rPr>
          <w:b/>
        </w:rPr>
        <w:t>E. 3.1</w:t>
      </w:r>
    </w:p>
    <w:p>
      <w:r>
        <w:t>3.1.1Gemäss Art. 310 lit. a StPO verfügt die Staatsanwaltschaft die Nichtanhand­nahme einer Strafunter­suchung, namentlich wenn auf Grund der Strafanzeige fest­steht, dass die fragliche Straftatbestände ein­deutig nicht erfüllt sind, mithin über­haupt kein Tatverdacht besteht.</w:t>
      </w:r>
    </w:p>
    <w:p>
      <w:r>
        <w:t>3.1.2Der Beschwerdeführer macht in seiner Beschwerde geltend, der Kompost sei abseits des Landesfusswegs aufgehäuft gewesen. Ohnehin sei es nicht zulässig, Kompost/Humus ohne rechtskräftigen Entscheid einfach abzuführen. Im folgenden Jahr (2023) habe die Gemeinde die Sache denn auch anders gelöst und den Kom­post/Humus lediglich umgelagert; gerade darin zeige sich, dass man seitens der Gemeinde das im Vorjahr begangene Unrecht eingesehen und aus dem Fehler gelernt habe, andernfalls die Gemeinde 2023 den Kompost gleich wie im Vorjahr abermals abgeführt hätte. Entgegen der Ansicht der Staatsanwaltschaft handle es sich nicht um eine bloss verwaltungsrechtliche Angelegenheit; vielmehr handle es sich um «Sachentzug, Diebstahl und unrechtmässige Aneignung» (act. 2 S. 2).</w:t>
      </w:r>
    </w:p>
    <w:p>
      <w:r>
        <w:t>3.1.3Die Einwendungen des Beschwerdeführers sind allesamt unbehelflich:</w:t>
      </w:r>
    </w:p>
    <w:p>
      <w:r>
        <w:t>Zunächst steht ausser Frage, dass über das hier betroffene Grundstück des Beschwerdeführers ein Landesfussweg führt (siehe hierzu sowie insbe­sondere auch zur Rechtsnatur eines Landesfusswegs Urteil des Obergerichts vom 1. September 2017 [Beizugsakten, act. 37 S. 7 ff.]). Gemäss Art. 52 des kantonalen Strassenge­setzes (GS VII C/11/1) stehen Landesfusswege unter der unmittelbaren Aufsicht des örtlich zuständigen Gemeinderates, welcher dafür zu sorgen hat, dass diesel­ben in gehörigem Zustand unterhalten und nicht ohne Einwilligung des Gemeindera­tes verlegt oder verändert werden, wobei der Unterhalt eines Landes­fusswegs dem jeweiligen Grundeigentümer obliegt, soweit nicht Verträge oder bis­herige Übung etwas anderes bestimmen (siehe zur Unterhaltspflicht des Grundeigentümers zudem auch Art. 214 EG ZGB [GS III B/1/1]). Aus der eben zitierten Gesetzesbe­stim­mung ergibt sich in aller Klarheit, dass i) es nicht angeht, wenn ein Grundeigen­tü­mer den über seine Liegenschaft führenden Landesfussweg mit Kompostmaterial überschüttet, sowie dass ii) die zuständige Gemeinde nötigenfalls zum Rechten zu sehen hat. Insofern daher die Gemeinde im April 2022 vermoderte Grünabfälle vom Grundstück des Beschwerdeführers abführen liess, weil dieses Material den Lan­desfussweg samt Gedenkstein überdeckte, so handelte sie durchweg rechtmässig. Die Gemeinde war dabei insbesondere auch berechtigt, den Moder, den der Beschwerdeführer zuvor mutwillig auf den Landesfussweg und den Gedenkstein geschüttet hatte, abführen zu lassen. Es verhält sich hier nicht anders wie generell bei Abfällen auf öffentlichen Strassen und Wegen, welche ebenfalls durch die kom­munalen Räumungsdienste eingesammelt und entsorgt werden, ohne dass jemand der unsinnigen Idee verfiele, die Gemeinde deswegen einer Sachentziehung bzw. einer unrechtmässigen Aneig­nung oder gar eines Diebstahls zu bezichtigen.</w:t>
      </w:r>
    </w:p>
    <w:p>
      <w:r>
        <w:t>Aus den vom Beschwerdeführer zusammen mit seiner Anzeige einge­reichten Fotos ist überdies unschwer ersichtlich, dass das im April 2022 abgeführte Modermate­rial fraglos im Bereich des Landesfusswegs und des Gedenksteins deponiert war. Wäh­rend auf dem Foto vor der Räumung der Unrat den Weg samt Gedenkstein über­deckte, ist auf dem Foto nach der Räumung der Gedenkstein erkennbar freige­legt (siehe dazu Vorakten, act. 3.1.01). Wenn der Beschwerdeführer ferner mit sei­nem Hinweis auf die Räumung ein Jahr später (2023), als die Gemeinde den Moder nicht mehr abführte, sondern bloss umlagerte, sinngemäss geltend macht, mit dem blos­sen Umlagern (statt wie im Vorjahr abzuführen) habe die Gemeinde richtig gehan­delt, so räumt er damit selber indirekt ein, dass im Frühjahr 2022 der Grünab­fall tat­sächlich den Landesfussweg und den Gedenkstein verdeckte.</w:t>
      </w:r>
    </w:p>
    <w:p>
      <w:r>
        <w:t>III.</w:t>
      </w:r>
    </w:p>
    <w:p>
      <w:r>
        <w:t>Aus alldem ergibt sich, dass die Staatsanwaltschaft in Anwendung von Art. 310 lit. a StPO zu Recht keine Strafuntersuchung eröffnet hat, womit die Beschwerde abzu­weisen ist. Ergänzend zu den vorstehenden Ausführungen kann gestützt auf Art. 82 Abs. 4 StPO auf die insgesamt zutreffenden Erwägungen in der angefochtenen Nichtanhandnahmeverfügung (act. 1) verwiesen werden.</w:t>
      </w:r>
    </w:p>
    <w:p>
      <w:r>
        <w:t>Bei diesem Ausgang sind die Kosten des Beschwerdeverfahrens dem Beschwerde­führer aufzuerlegen (Art. 428 Abs. 1 StPO); die Gerichtsgebühr ist dabei auf CHF 1'500.- festzusetzen (Art. 6 und Art. 8 Abs. 2 lit. b der Zivil- und Strafprozess­kostenverordnung; GS III A/5).</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