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GL-1795 vom 1. Dezember 2023</w:t>
      </w:r>
    </w:p>
    <w:p>
      <w:r>
        <w:t>GL Gerichte, 2023-12-01, DE</w:t>
      </w:r>
    </w:p>
    <w:p>
      <w:r>
        <w:rPr>
          <w:b/>
        </w:rPr>
        <w:t xml:space="preserve">Quelle: </w:t>
      </w:r>
      <w:r>
        <w:t>https://mcp.opencaselaw.ch/entscheid/gl_gerichte_GL-1795</w:t>
      </w:r>
    </w:p>
    <w:p>
      <w:r>
        <w:t>FR: GL_GERICHTE GL-1795 du 1 décembre 2023</w:t>
      </w:r>
    </w:p>
    <w:p>
      <w:r>
        <w:t>IT: GL_GERICHTE GL-1795 del 1 dicembre 2023</w:t>
      </w:r>
    </w:p>
    <w:p>
      <w:pPr>
        <w:pStyle w:val="Heading2"/>
      </w:pPr>
      <w:r>
        <w:t>Erwägungen</w:t>
      </w:r>
    </w:p>
    <w:p>
      <w:r>
        <w:rPr>
          <w:b/>
        </w:rPr>
        <w:t>E. 1</w:t>
      </w:r>
    </w:p>
    <w:p>
      <w:r>
        <w:t>Es sei die Verfügung des Zwangsmassnahmengerichts vom 31. Oktober 2023 im Verfahren SG.2023.00096 vollumfänglich aufzuheben.</w:t>
      </w:r>
    </w:p>
    <w:p>
      <w:r>
        <w:rPr>
          <w:b/>
        </w:rPr>
        <w:t>E. 2</w:t>
      </w:r>
    </w:p>
    <w:p>
      <w:r>
        <w:t>Es sei das Haftentlassungsgesuch vom 19. Oktober 2023 zu bewilligen und es seien Ersatzmassnahmen anzuordnen.</w:t>
      </w:r>
    </w:p>
    <w:p>
      <w:r>
        <w:rPr>
          <w:b/>
        </w:rPr>
        <w:t>E. 3</w:t>
      </w:r>
    </w:p>
    <w:p>
      <w:r>
        <w:t>Es sei die Untersuchungshaft nicht zu verlängern.</w:t>
      </w:r>
    </w:p>
    <w:p>
      <w:r>
        <w:rPr>
          <w:b/>
        </w:rPr>
        <w:t>E. 4</w:t>
      </w:r>
    </w:p>
    <w:p>
      <w:r>
        <w:t>4.1.Untersuchungshaft ist eine Zwangsmassnahme und darf nur angeordnet werden, wenn sie verhältnismässig ist, namentlich wenn das damit angestrebte Ziel nicht durch ein milderes Mittel erreicht werden kann und wenn die Bedeutung der Straftat die Haft rechtfertigt (vgl. Art. 197 Abs. 1 lit. c und d StPO).</w:t>
      </w:r>
    </w:p>
    <w:p>
      <w:r>
        <w:t>4.2.Das mit der Untersuchungshaft angestrebte Ziel, die Begehung von weiteren schweren Straftaten des Beschuldigten zu verhindern, kann vorliegend nicht mit milderen Mitteln erreicht werden. Insbesondere ist eine Verpflichtung des Beschuldigten zu einer Arbeit nicht zielführend (vgl. act. 17, S. 4), da dem Beschuldigten vorgeworfen wird, die Taten unter anderem auch begangen zu haben, als er einer Arbeit nachging (vgl. E. III.3.5). Auch die weiteren vom Beschuldigten vorgeschlagenen Massnahmen (act. 10), können die Wiederholungsgefahr nicht mit genügender Sicherheit abwenden. Zwar erhöht der Finanzbedarf aufgrund der Drogensucht die Gefahr der Begehung einer schweren Straftat noch, allerdings ist die Gefahr nicht alleine darauf zurückzuführen (vgl. E. III.3.8). Drogentests können die Wiederholungsgefahr daher auch nicht abwenden. Dasselbe gilt für die Offenlegung der Finanzen des Beschuldigten, würde hierdurch doch eine allfällige Vermögensstraftat erst bemerkt werden, nachdem sie begangen wurde. Die Begehung verhindern könnte eine solche Pflicht hingegen nicht. Die dem Beschuldigten vorgeworfenen Straftaten können zudem unabhängig von einem bestimmten Standort verübt werden, weshalb auch eine GPS-Fussfessel oder das regelmässige Melden bei einer Stelle keine geeigneten Massnahmen darstellen.</w:t>
      </w:r>
    </w:p>
    <w:p>
      <w:r>
        <w:t>4.3.Der Beschuldigte befindet sich seit dem 4. August 2023 in Haft (act. 4/2/13). Ausgehend davon, dass der Beschuldigte unter anderem des gewerbsmässigen Betruges dringend verdächtigt wird, steht ihm eine längere Freiheitsstrafe konkret in Aussicht. Demgemäss droht keine Überhaft, wenn die Untersuchungshaft bis zum 3. Februar 2024 verlängert wird. Eine über das übliche Mass hinausgehende Verschlechterung seiner sozialen Verhältnisse oder der finanziellen Situation durch die Untersuchungshaft ist nicht ersichtlich.</w:t>
      </w:r>
    </w:p>
    <w:p>
      <w:r>
        <w:t>Wie die Staatsanwaltschaft zutreffend vorbringt (act. 20), wurde der Beschuldigte bereits vor seiner Verhaftung zu diversen Delikten einvernommen. Diese Einvernahmen fanden bereits an fünf verschiedenen Tagen statt (act. 2/6, S. 27). Zwar ist zutreffend, dass die Staatsanwaltschaft seit dem Haftantritt des Beschuldigten diesen nicht mehr einvernommen hat. Allerdings waren die Strafverfolgungsbehörden seither trotzdem nicht untätig. So musste die Staatsanwaltschaft seit der Verhaftung des Beschuldigten elf Gerichtsstandsanfragen bearbeiten und die entsprechenden Verfahren übernehmen (act. 2/3 und act. 2/6, S. 32 f.). Ein Vergleich der Aktenverzeichnisse per 16. Oktober 2023 und per 21. Juli 2023 ergibt ausserdem, dass in der Zwischenzeit unter den Tatbestandsakten der Polizei 13 weitere Dossiers dazu gekommen sind und der Umfang der gesamten Akten von sieben auf zehn Ordner angewachsen ist (vgl. act. 2/6 und act. 4/2/11). Es versteht sich von selbst, dass die Strafverfolgungsbehörden die neu dazu gekommenen Akten  auch wenn diese von anderen Strafverfolgungsbehörden kommen  studieren müssen, bevor sie den Beschuldigten zu den diesbezüglichen Delikten befragen können. Zudem befinden sich die Akten derzeit zwecks Einvernahme des Beschuldigten bei der Polizei (vgl. act. 20), womit die geforderten Einvernahmen nun bald durchgeführt werden sollten. Den vorstehenden Ausführungen zufolge rechtfertigt die Bedeutung der Straftaten, welcher der Beschuldigte verdächtigt wird, die Verlängerung der Untersuchungshaft bis am 3. Februar 2024.</w:t>
      </w:r>
    </w:p>
    <w:p>
      <w:r>
        <w:rPr>
          <w:b/>
        </w:rPr>
        <w:t>E. 5</w:t>
      </w:r>
    </w:p>
    <w:p>
      <w:r>
        <w:t>Den vorstehenden Ausführungen zufolge sind die Voraussetzungen für die Verlängerung der Untersuchungshaft bis am 3. Februar 2024 erfüllt und die Beschwerde des Beschuldigten ist vollumfänglich abzuweisen. Der Beschuldigte kann im Übrigen jederzeit bei der Staatsanwaltschaft ein Gesuch um Haftentlassung stellen (vgl. Art. 228 Abs. 1 StPO).</w:t>
      </w:r>
    </w:p>
    <w:p>
      <w:r>
        <w:t>IV.</w:t>
      </w:r>
    </w:p>
    <w:p>
      <w:r>
        <w:t>Die Regelung der Kosten- und Entschädigungsfolgen hat im Endentscheid zu erfolgen (vgl. Art. 421 Abs. 1 StPO). Die Gerichtsgebühren sind zuhanden der das Strafverfahren abschliessenden Strafbehörde in Beachtung der Bemessungskriterien von Art. 6 der Zivil- und Strafprozesskostenverordnung des Kantons Glarus (GS III A/5) festzusetzen und zu den Untersuchungskosten im Sinne von Art. 326 Abs. 1 lit. d StPO zu schlagen. Die Gerichtsgebühr für das Beschwerdeverfahren ist gestützt auf Art. 8 Abs. 2 lit. b der Zivil- und Strafprozesskostenverordnung des Kantons Glarus auf CHF 800.− festzusetzen. Ausgangsgemäss bleibt es bei der Kostenregelung der Vorinstanz (Art. 428 Abs. 3 StPO e contrario).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