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GL-1791 vom 21. Februar 2024</w:t>
      </w:r>
    </w:p>
    <w:p>
      <w:r>
        <w:t>GL Gerichte, 2024-02-21, DE</w:t>
      </w:r>
    </w:p>
    <w:p>
      <w:r>
        <w:rPr>
          <w:b/>
        </w:rPr>
        <w:t xml:space="preserve">Quelle: </w:t>
      </w:r>
      <w:r>
        <w:t>https://mcp.opencaselaw.ch/entscheid/gl_gerichte_GL-1791</w:t>
      </w:r>
    </w:p>
    <w:p>
      <w:r>
        <w:t>FR: GL_GERICHTE GL-1791 du 21 février 2024</w:t>
      </w:r>
    </w:p>
    <w:p>
      <w:r>
        <w:t>IT: GL_GERICHTE GL-1791 del 21 febbraio 2024</w:t>
      </w:r>
    </w:p>
    <w:p>
      <w:pPr>
        <w:pStyle w:val="Heading2"/>
      </w:pPr>
      <w:r>
        <w:t>Erwägungen</w:t>
      </w:r>
    </w:p>
    <w:p>
      <w:r>
        <w:rPr>
          <w:b/>
        </w:rPr>
        <w:t>E. 1</w:t>
      </w:r>
    </w:p>
    <w:p>
      <w:r>
        <w:t>1.1Die am [] geborene A.______ leidet an einer angeborenen cerebralen Lähmung. Sie lebt in der Langzeiteinrichtung D.______ und verbringt monatlich zwei Wochenenden sowie ihre Ferien bei den Eltern. Letztere erbringen pflegerische Leistungen und sind zu diesem Zweck bei der E.______GmbH angestellt.</w:t>
      </w:r>
    </w:p>
    <w:p>
      <w:r>
        <w:t>1.2Die E.______GmbH beantragte bei den Aquilana Versicherungen (nachfolgend: Aquilana) die Vergütung von Spitexleistungen. Am 7. August 2023 verfügte Letztere, dass die beantragten Leistungen lediglich in reduziertem Umfang ausgerichtet werden. Hieran hielt sie am 21. September 2023 trotz der am 11. September 2023 dagegen erhobenen Einsprache fest.</w:t>
      </w:r>
    </w:p>
    <w:p>
      <w:r>
        <w:rPr>
          <w:b/>
        </w:rPr>
        <w:t>E. 2</w:t>
      </w:r>
    </w:p>
    <w:p>
      <w:r>
        <w:t>2.1Die Beschwerdeführerin macht geltend, der abgeklärte Pflegeaufwand sei ausgewiesen. Ihr Vater absolviere mit ihr eine Turnstunde pro Woche zur Bewegungsunterstützung, was Teil des Leistungskatalogs der Verordnung des EDI über Leistungen in der obligatorischen Krankenpflegeversicherung vom 29. September 1995 (KLV) sei. Die Kürzung der anerkannten C-Leistungen sei sodann nicht korrekt. Sie, die Beschwerdeführerin, benötige Unterstützung bei der Körper- und Zahnpflege, beim Toilettengang, beim An- und Auskleiden und bei der Nahrungsmittel- und Flüssigkeitsaufnahme. Sie sei geistig auf dem Stand eines Kleinkindes und brauche entsprechend aufwändigere und längerdauernde Unterstützung. Der streitbetroffene Bedarf bestehe während den Ferien und an den Wochenenden. Diese Zeiten verbringe sie bei ihren Eltern. Letztere erbrächten dabei die Leistungen je nachdem, ob sie diese unter der Woche bereits in der Langzeiteinrichtung erhalten habe oder nicht. Die Pflege in der Langzeiteinrichtung sei ferner mangelhaft. Es sei eine externe Begutachtung zur Klärung des gesamten notwendigen pflegerischen Bedarfs in Auftrag zu geben, wobei eine zertifizierte RAI-Ausbildungsperson damit zu beauftragen sei.</w:t>
      </w:r>
    </w:p>
    <w:p>
      <w:r>
        <w:t>2.2Die Beschwerdegegnerin hält fest, es sei unbestritten, dass die Beschwerdeführerin Grundpflegeleistungen benötige. Im eingereichten Bedarfsmeldeformular seien jedoch diverse Leistungen aufgeführt, welche nicht nachvollziehbar und überhöht seien bzw. nicht den Kriterien der Wirksamkeit, Zweckmässigkeit und Wirtschaftlichkeit (WZW) entsprächen. Sie, die Beschwerdegegnerin, vergüte deshalb nur 0.5 Stunden A-Leistungen pro Monat, 6.5 Stunden C-Leistungen für ein ganzes Wochenende zu Hause und 4.5 Stunden C-Leistungen während den ganzen Ferientagen. Tage, an denen die Beschwerdeführerin aus der Langzeiteinrichtung abgeholt und wieder zurückgebracht werde, würden sodann wie die Wochenenden vergütet. Ferner seien die Begleitung bei Ausflügen und Aktivitäten ausser Haus Betreuungsleistungen und zählten nicht zu den Pflichtleistungen der obligatorischen Krankenpflegeversicherung. Dementsprechend könne sie die wöchentliche Sport-Aktivität nicht als Pflegeleistung vergüten. Da die Beschwerdeführerin gemäss der Langzeiteinrichtung an den Abholtagen überdies bereits gepflegt und versorgt abgeholt werde und nach ihrer Rückkehr wiederum pflegerische Leistungen in Anspruch nehme, seien diese Zeiten entsprechend angepasst worden. Die Leistungen seien schliesslich von Fachpersonen abgeklärt worden, weshalb von weiteren Abklärungen abzusehen sei. Der Aufwand, dem die Pflegestufe der Beschwerdeführerin im Heim entspreche, sei im Übrigen tiefer als die geltend gemachten Leistungen, was gegen deren Wirtschaftlichkeit spreche.</w:t>
      </w:r>
    </w:p>
    <w:p>
      <w:r>
        <w:rPr>
          <w:b/>
        </w:rPr>
        <w:t>E. 3</w:t>
      </w:r>
    </w:p>
    <w:p>
      <w:r>
        <w:t>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nach Art. 33 der Verordnung über die Krankenversicherung vom 27. Juni 1995 (KVV) dem Eidgenössischen Departement des Inneren (EDI) übertragen. Gemäss dem von diesem erlassenen Art. 7 Abs. 1 KLV gelten als Leistungen nach Art. 33 lit. b KVV Untersuchungen, Behandlungen und Pflegemassnahmen, die aufgrund der Bedarfsabklärung nach Art. 7 Abs. 2 lit. a KLV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Bei der Grundpflege unterscheidet Art. 7 Abs. 2 lit. c KLV schliesslich zwischen der somatischen (Ziff. 1) und der psychiatrischen (Ziff. 2) Grundpflege. Die Leistungen müssen nach Art. 32 Abs. 1 KVG wirksam, zweckmässig und wirtschaftlich sein.</w:t>
      </w:r>
    </w:p>
    <w:p>
      <w:r>
        <w:rPr>
          <w:b/>
        </w:rPr>
        <w:t>E. 4</w:t>
      </w:r>
    </w:p>
    <w:p>
      <w:r>
        <w:t>4.1Für die Beurteilung des Gesundheitszustands und der rechtlichen Folgen sind Versicherungsträger und Gerichte auf Angaben ärztlicher Expertinnen und Experten angewiesen. Deren Aufgabe ist es, sämtliche Auswirkungen einer Krankheit oder eines Unfalls auf den Gesundheitszustand der versicherten Person zu beurteilen und zu umschreiben. Diese Einschätzungen haben die Verwaltung und die kantonalen Versicherungsgerichte nach dem Grundsatz der freien Beweiswürdigung (Art. 61 lit. c ATSG) ohne Bindung an förmliche Beweisregeln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(vgl. BGE 125 V 351 E. 3a, mit Hinweisen).</w:t>
      </w:r>
    </w:p>
    <w:p>
      <w:r>
        <w:t>4.2Die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138 V 218 E. 6).</w:t>
      </w:r>
    </w:p>
    <w:p>
      <w:r>
        <w:rPr>
          <w:b/>
        </w:rPr>
        <w:t>E. 5</w:t>
      </w:r>
    </w:p>
    <w:p>
      <w:r>
        <w:t>5.1Die Bedarfsermittlung im Sinne von Art. 7 Abs. 2 lit. a i.V.m. Art. 8 KLV hat durch einen Pflegefachmann oder eine Pflegefachfrau zu erfolgen (Art. 8a Abs. 1 KLV). Die Beschwerdegegnerin stellt sich auf den Standpunkt, die Beschwerdeführerin habe einen tieferen Bedarf an Leistungen nach Art. 7 Abs. 2 lit. c KLV und an solchen nach Art. 7 Abs. 2 lit. a KLV als von der Leistungserbringerin in Rechnung gestellt wurden.</w:t>
      </w:r>
    </w:p>
    <w:p>
      <w:r>
        <w:t>5.2Vorliegend wurden die Pflegebedarfsabklärungen durch F.______, diplomierte Krankenschwester AKP/GKP/KWS/PsyKP der Spitex-Organisation, und G.______, diplomierte Pflegefachfrau HF, durchgeführt. Die Spitexleistungen wurden sodann von Dr. med. H.______, Kinder- und Jugendmedizin FMH, verordnet. Damit erscheinen die in Art. 7 ff. KLV enthaltenen Voraussetzungen auf den ersten Blick als erfüllt. Die Beschwerdegegnerin hat die Abrechnungen in der Folge dem vertrauensärztlichen Dienst I.______ zur Stellungnahme unterbreitet, welcher eine reduzierte Kostenübernahme empfohlen hat.</w:t>
      </w:r>
    </w:p>
    <w:p>
      <w:r>
        <w:t>5.3Zunächst ist darauf hinzuweisen, dass die Beschwerdegegnerin die Sport-Unterstützung ohne weitere Abklärungen mit der pauschalen Begründung abgelehnt hat, diese sei eine Betreuungs- und keine KVG-Pflichtleistung. Da Art. 7 Abs. 2 lit. c Ziff. 1 KLV aber explizit Bewegungsübungen und das Mobilisieren bei den Grundpflegeleistungen vorsieht, erscheint diese pauschale und weitgehend unbegründete Ablehnung nicht ohne Weiteres als nachvollziehbar. Die weiteren Leistungen nach Art. 7 Abs. 2 lit. a und lit. c KLV hat die Beschwerdegegnerin nach Rücksprache mit dem vertrauensärztlichen Dienst und mit der Langzeiteinrichtung sodann gekürzt. Dabei hat sie jedoch einerseits keine Unterlagen von der Langzeiteinrichtung eingeholt, weshalb dies durch das Gericht nachgeholt werden musste, was im Übrigen einer verletzten Untersuchungspflicht gleichkommt. Andererseits hat sie die Bedarfsabklärung bzw. die Einschätzung der Langzeiteinrichtung zu den Pflegeleistungen nicht weiter überprüft, zumal mit der Einschätzung der Langzeiteinrichtung und derjenigen der Spitex-Organisation sich grundsätzlich zwei divergierende Einschätzungen mit dem jeweils gleichen Beweiswert gegenüberstehen. Die Beschwerdegegnerin hat ferner nicht weiter begründet, weshalb Erstere gegenüber Letzterer Vorrang haben soll bzw. weshalb dieser erhöhter Beweiswert zukommt. Vielmehr erscheint es ungenügend, die Bedarfseinschätzung der Langzeiteinrichtung ohne Weiterungen pauschal zu übernehmen. Dies gilt umso mehr, als dass die Beschwerdeführerin deren Pflege ausdrücklich als mangelhaft kritisiert. Schliesslich hat sich die Beschwerdegegnerin nicht dazu geäussert, ob die von der Langzeiteinrichtung selbst vorgesehenen bzw. eingeplanten Leistungen gemäss der Beschwerdeführerin nicht immer tatsächlich vorgenommen würden.</w:t>
      </w:r>
    </w:p>
    <w:p>
      <w:r>
        <w:t>5.4Aus dem Gesagten ergibt sich, dass sich der Pflegebedarf der Beschwerdeführerin insgesamt als ungenügend abgeklärt erweist. So erscheint es dem Gericht aufgrund der divergierenden im Recht liegenden Abklärungen nicht möglich, den Pflegebedarf der Beschwerdeführerin mit dem notwendigen Beweisgrad zu bestimmen. Es sind folglich weitere Abklärungen notwendig, wobei zu evaluieren ist, welchen Bedarf an Grundpflegeleistungen gemäss Art. 7 Abs. 2 lit. c KLV sowie an Leistungen gemäss Art. 7 Abs. 2 lit. a KLV die Beschwerdeführerin gesamthaft aufweist. Alsdann ist basierend auf diesen Erkenntnissen zu prüfen, ob die erbrachten Spitex-Leistungen wirksam, zweckmässig und wirtschaftlich sind (vgl. Art. 32 KVG). Angesichts der Divergenzen zwischen der Langzeiteinrichtung und der Spitex-Organisation sowie mit Blick auf die komplexe Situation mit mehreren Leistungserbringern erweist sich eine interne versicherungsärztliche Untersuchung hierfür nicht ausreichend. Vielmehr erscheint es notwendig, hierfür eine externe Untersuchung durch eine geeignete Fachperson anzuordnen.</w:t>
      </w:r>
    </w:p>
    <w:p>
      <w:r>
        <w:rPr>
          <w:b/>
        </w:rPr>
        <w:t>E. 6</w:t>
      </w:r>
    </w:p>
    <w:p>
      <w:r>
        <w:t>6.1Gemäss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4.4.1ff.).</w:t>
      </w:r>
    </w:p>
    <w:p>
      <w:r>
        <w:t>6.2Die Beschwerdegegnerin hat es im Verwaltungsverfahren trotz ihrer Untersuchungs- bzw. Abklärungspflicht unterlassen, den Pflegebedarf und die Notwendigkeit der erbrachten Leistungen sowie die Vergütungspflicht nach Art. 7 Abs. 2 lit. a und lit. c Ziff. 1 KLV vertieft zu prüfen. Sie hat sich lediglich pauschal auf die Einschätzungen der Langzeiteinrichtung sowie auf die Empfehlungen ihres vertrauensärztlichen Dienstes abgestützt und insbesondere die Abweisung der Sport-Leistung nicht weiter begründet, was ungenügend erscheint. Da es nicht Aufgabe des kantonalen Sozialversicherungsgerichts sein kann, im Verwaltungsverfahren versäumte Abklärungen zu veranlassen, erweist sich eine Rückweisung an die Beschwerdegegnerin als zulässig. Dies entspricht denn auch dem Eventualantrag der Beschwerdeführerin.</w:t>
      </w:r>
    </w:p>
    <w:p>
      <w:r>
        <w:rPr>
          <w:b/>
        </w:rPr>
        <w:t>E. 7</w:t>
      </w:r>
    </w:p>
    <w:p>
      <w:r>
        <w:t>Soweit die Beschwerdeführerin schliesslich die Gewährung der unentgeltlichen Prozessführung für das Einspracheverfahren beantragt, ist zunächst festzuhalten, dass das vorinstanzliche Verfahren kostenlos ist (Art. 1 Abs. 1 KVG i.V.m. Art. 52 Abs. 3 Satz 1 ATSG). Dementsprechend ist auf dieses Begehren nicht weiter einzugehen. Die Gewährung der unentgeltlichen Rechtsverbeiständung im Einspracheverfahren bildet sodann die Ausnahme (Art. 52 Abs. 3 ATSG), wobei im vorliegenden Fall ohnehin fraglich ist, ob eine rechtliche Vertretung notwendig gewesen wäre (Art. 37 Abs. 4 ATSG). Dies kann jedoch offenbleiben. Der Vertreter der Beschwerdeführerin hat im Gerichtsverfahren nämlich weitgehend Dasselbe wie Einspracheverfahren vorgebracht, wobei ihm hierfür kein nennenswerter Zusatzaufwand entstanden ist. Da der Beschwerdeführerin für das Gerichtsverfahren eine Parteientschädigung zuzusprechen ist (vgl. untenstehende E. III/1), erscheinen die Aufwendungen für das Einspracheverfahren damit bereits als gedeckt. Eine zusätzliche Entschädigung im Rahmen der Gewährung der unentgeltlichen Rechtsverbeiständung im Einspracheverfahren erscheint damit nicht geboten.</w:t>
      </w:r>
    </w:p>
    <w:p>
      <w:r>
        <w:rPr>
          <w:b/>
        </w:rPr>
        <w:t>E. 8</w:t>
      </w:r>
    </w:p>
    <w:p>
      <w:r>
        <w:t>Zusammenfassend hat die Beschwerdegegnerin den Bedarf der Beschwerdeführerin an Leistungen gemäss Art. 7 Abs. 2 lit. c und an solchen gemäss Art. 7 Abs. 2 lit. a KLV ungenügend abgeklärt. Dies hat sie nachzuholen, wobei sie hierfür eine unabhängige externe Beurteilung einzuholen hat.</w:t>
      </w:r>
    </w:p>
    <w:p>
      <w:r>
        <w:t>Dies führt zur teilweisen Gutheissung der Beschwerde, soweit darauf einzutreten ist. Der Einspracheentscheid der Beschwerdegegnerin vom 21. September 2023 ist aufzuheben und die Sache im Sinne der Erwägungen an diese zurückzuweisen.</w:t>
      </w:r>
    </w:p>
    <w:p>
      <w:r>
        <w:t>III.</w:t>
      </w:r>
    </w:p>
    <w:p>
      <w:r>
        <w:t>1.</w:t>
      </w:r>
    </w:p>
    <w:p>
      <w:r>
        <w:t>Die Gerichtskosten sind von Gesetzes wegen auf die Staatskasse zu nehmen (Art. 1 Abs. 1 KVG i.V.m. Art. 61 lit. fbis ATSG e contrario). Da bei einer Rückweisung der Sache an die Vorinstanz mit offenem Ausgang hinsichtlich der Kosten- und Entschädigungsfolgen von einem Obsiegen der beschwerdeführenden Partei auszugehen ist, hat die Beschwerdeführerin zu Lasten der Beschwerdegegnerin Anspruch auf eine angemessene Parteientschädigung (Art. 1 Abs. 1 KVG i.V.m. Art. 61 lit. g ATSG). Diese ist auf Fr. 2'000.- (inkl. Mehrwertsteuer) festzusetzen.</w:t>
      </w:r>
    </w:p>
    <w:p>
      <w:r>
        <w:t>2.</w:t>
      </w:r>
    </w:p>
    <w:p>
      <w:r>
        <w:t>2.1Die Beschwerdeführerin beantragt die Gewährung der unentgeltlichen Prozessführung und der unentgeltlichen Rechtsverbeiständung.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t>2.2Da die Gerichtskosten auf die Staatskasse zu nehmen sind, ist das Gesuch der Beschwerdeführerin um Gewährung der unentgeltlichen Prozessführung als gegenstandslos geworden abzuschreiben.</w:t>
      </w:r>
    </w:p>
    <w:p>
      <w:r>
        <w:t>2.3Die Mittellosigkeit der Beschwerdeführerin erscheint offensichtlich, wobei dasvorliegende Verfahren angesichts des teilweisen Obsiegens nicht als aussichtslos bezeichnet werden kann. Da die Beschwerdeführerin zumindest im Gerichtsverfahren auf eine rechtliche Vertretung angewiesen war, ist das Gesuch um unentgeltliche Rechtsverbeiständung gutzuheissen und ihr ist in der Person von RechtsanwaltProf. Dr. Hardy Landoltein unentgeltlicher Rechtsbeistand zu bestellen. Dieser ist mit Fr. 2'000.- (inkl. Auslagen und Mehrwertsteuer) zu entschädigen. Daran angerechnet wird die Parteientschädigung seitens der Beschwerdegegnerin in gleicher Höhe.</w:t>
      </w:r>
    </w:p>
    <w:p>
      <w:r>
        <w:t>3.</w:t>
      </w:r>
    </w:p>
    <w:p>
      <w:r>
        <w:t>Gegen diesen Zwischenentscheid steht die Beschwerde ans Bundesgericht nur nach Massgabe von Art. 93 Abs. 1 des Gesetzes über das Bundesgericht vom 17. Juni 1995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