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GL-1769 vom 3. November 2023</w:t>
      </w:r>
    </w:p>
    <w:p>
      <w:r>
        <w:t>GL Gerichte, 2023-11-03, DE</w:t>
      </w:r>
    </w:p>
    <w:p>
      <w:r>
        <w:rPr>
          <w:b/>
        </w:rPr>
        <w:t xml:space="preserve">Quelle: </w:t>
      </w:r>
      <w:r>
        <w:t>https://mcp.opencaselaw.ch/entscheid/gl_gerichte_GL-1769</w:t>
      </w:r>
    </w:p>
    <w:p>
      <w:r>
        <w:t>FR: GL_GERICHTE GL-1769 du 3 novembre 2023</w:t>
      </w:r>
    </w:p>
    <w:p>
      <w:r>
        <w:t>IT: GL_GERICHTE GL-1769 del 3 novembre 2023</w:t>
      </w:r>
    </w:p>
    <w:p>
      <w:pPr>
        <w:pStyle w:val="Heading2"/>
      </w:pPr>
      <w:r>
        <w:t>Erwägungen</w:t>
      </w:r>
    </w:p>
    <w:p>
      <w:r>
        <w:rPr>
          <w:b/>
        </w:rPr>
        <w:t>E. 5</w:t>
      </w:r>
    </w:p>
    <w:p>
      <w:r>
        <w:t>5.1.Gemäss Art. 754 Abs. 1 OR haften Mitglieder des Verwaltungsrates sowie die mit der Geschäftsführung befassten Personen gegenüber der Gesellschaft, Aktionären und Gesellschaftsgläubigern für den Schaden, welchen sie durch eine zumindest fahrlässige Verletzung ihrer Pflichten verursachen. Demgemäss ist neben einem Schaden eine Pflichtverletzung, ein Kausalzusammenhang sowie ein Verschulden der Person mit Organstellung erforderlich. Bei einer konkursiten Gesellschaft hat das Bundesgericht die Klagebefugnis eines direkt geschädigten Gläubigers allerdings beschränkt, wobei diese Beschränkung nur gilt, wenn der Anspruch des einzelnen Gläubigers tatsächlich in Konkurrenz zu den Ansprüchen der Konkursmasse bzw. der Gesellschaft stehen (BGE 148 III 11 E. 3.2 und E. 3.2.3.1; BGE 141 III 112 E. 5.3.3; vgl. auch BGE 131 III 306 E. 3.1.2).</w:t>
      </w:r>
    </w:p>
    <w:p>
      <w:r>
        <w:t>5.2.Vorliegend wurde der Konkurs der E.______ AG mangels Aktiven eingestellt und kein Gläubiger hat die Durchführung des Konkursverfahrens im Sinne von Art. 230 Abs. 2 SchKG verlangt sowie dafür Sicherheit geleistet (vgl. act. 2/3.1.20-1 und act. 2/8.1.08). Demgemäss ist zum heutigen Zeitpunkt eine Konkurrenz der Forderung der Privatklägerin zu allfälligen Ansprüchen der Gesellschaft nicht mehr aktuell, da eine entsprechende Forderung der Gesellschaft nicht geltend gemacht wurde (vgl. BGE 141 III 112 E. 5.3.3). Die Privatklägerin ist deshalb vorliegend grundsätzlich befugt, für einen unmittelbaren Schaden gestützt auf Art. 754 OR Ersatz zu verlangen (vgl. auchPeter Böckli, a.a.O., N. 170 zu § 16).</w:t>
      </w:r>
    </w:p>
    <w:p>
      <w:r>
        <w:t>5.3.Wie in der Anklageschrift zutreffend festgehalten, liess die E.______ AG die Privatklägerin Ware zu einem Preis von insgesamt EUR 390'382.02 liefern (vgl. act. 1, S. 4 f., und E. VIII.3.2 vorstehend). Der Beschuldigte anerkannte am 7. November 2012 die nach Abzug der bis dahin erfolgten Zahlungen noch offene Schuld über EUR 205'164.82 (act. 2/3.1.01, S. 43). Mit der Vereinbarung über das Schuldanerkenntnis und den Zahlungsplan vom 14./17. Dezember 2012 bestätigte der Beschuldigte diese Anerkennung grundsätzlich, wobei aber die noch nicht bezahlte Lieferung vom 25. September 2012 zu Gunsten der E.______ AG um EUR 366.− herabgesetzt wurde (vgl. act. 2/3.1.01, S. 45 ff., insbes. S. 47). Zudem hat die E.______ AG anfangs 2013 weitere EUR 1'556.08 an die Privatklägerin bezahlt (vgl. zum Ganzen act. 2/3.1.13-1; act. 2/3.1.15-1, S. 2; act. 2/6.1.10, S. 39 ff.; act. 2/6.1.17, S. 27 ff., sowie E. V.1.2.4.2; vgl. Art. 87 Abs. 1 OR). Von der im Adhäsionsverfahren zu beurteilenden Forderung der Privatklägerin sind demgemäss im Zeitpunkt der Konkurseröffnung über die E.______ AG noch EUR 203'242.74 offen. Nachdem der Konkurs der E.______ AG mangels Aktiven eingestellt wurde, blieb diese Forderung vollständig unbefriedigt, die Lieferungen hatte die Privatklägerin jedoch bereits ausgeführt. Der Privatklägerin ist demnach ein Vermögensschaden über EUR 203'242.74 entstanden.</w:t>
      </w:r>
    </w:p>
    <w:p>
      <w:r>
        <w:t>5.4.Ein Gläubiger kann durch eine eigene Klage allerdings nur den direkten Schaden einklagen, nicht aber einen indirekten (BGE 131 III 306 E. 3.1.1). Nimmt ein überschuldeter Schuldner trotzdem weiterhin am Wirtschaftsgeschehen teil (Konkursverschleppung) und erhält so noch Leistungen auf Kredit, so sind diese Gläubiger direkt geschädigt (Peter Böckli, a.a.O., N. 128 zu § 16;Dieter Gericke/Stefan Waller, in: Basler Kommentar Obligationenrecht, 5. Aufl. 2016, N. 22 zu Art. 754 OR). Vorliegend sind alle noch offenen Lieferungen erst erfolgt, nachdem der Beschuldigte bereits überschuldet war und der Beschuldigte entsprechend eine Überschuldungsanzeige hätte einreichen müssen. Beim vorstehend erwähnten Vermögensschaden über EUR 203'242.74 handelt es sich demgemäss um einen direkten Schaden der Privatklägerin.</w:t>
      </w:r>
    </w:p>
    <w:p>
      <w:r>
        <w:t>5.5.Damit ein Gläubiger einen direkten Schaden mittels eigener Klage geltend machen kann, muss sich die Pflichtverletzung auf eine Norm beziehen, welche zumindest auch zum Schutze der Gläubiger und nicht nur zum Schutze der Gesellschaft erlassen wurde. Sowohl dem Schutze der Gläubiger als auch der Gesellschaft dienen beispielsweise die Bestimmungen über das Verhalten bei eingetretener Überschuldung (BGE 148 III 11 E. 3.2.3.2). Der Beschuldigte hat den vorstehenden Ausführungen zufolge die Pflicht zur Einreichung einer Überschuldunganzeige gemäss aArt. 725 Abs. 2 OR verletzt (E. IV.2.3.2). Wie erwähnt wurde diese Vorschrift auch zum Schutze der Gläubiger erlassen, womit die Privatklägerin einen Schaden aus Verletzung dieser Norm selbständig geltend machen kann. Hätte der Beschuldigte pflichtgemäss eine Zwischenbilanz erstellt und anschliessend den Richter benachrichtigt, hätte er die erwähnten Bestellungen bei der Privatklägerin nicht mehr ausgelöst und ihr wäre auch kein Schaden entstanden. Für den in Konkursangelegenheiten erfahrenen Beschuldigten musste vorhersehbar sein, dass er  nachdem er trotz Überschuldung weiterwirtschaftete  neu eingegangene Zahlungspflichten nicht mehr begleichen können wird (vgl. dazu auch E. IV.1.2.5.7 und E. IV.2.5.1 vorstehend). Damit steht fest, dass der Beschuldigte der Privatklägerin den Schaden im Umfang von EUR 203'242.74 gestützt auf Art. 754 OR zu ersetzten hat.</w:t>
      </w:r>
    </w:p>
    <w:p>
      <w:r>
        <w:t>5.6.Anzumerken ist ausserdem, dass der Beschuldigte den Schaden im Betrag von EUR 35'473.68 auch gestützt auf eine unerlaubte Handlung (Art. 41 OR bzw. § 2894 ff., insbes. § 2910 Bürgerliches Gesetzbuch der Tschechischen Republik vom 3. Februar 2012; 89/2012 Sb.) zu ersetzten hätte, ist dieser doch durch einen Betrug entstanden (vgl. E. V.2.4.2 und E. VI.4.2.2 vorstehend).</w:t>
      </w:r>
    </w:p>
    <w:p>
      <w:r>
        <w:rPr>
          <w:b/>
        </w:rPr>
        <w:t>E. 6</w:t>
      </w:r>
    </w:p>
    <w:p>
      <w:r>
        <w:t>Die Gerichtsgebühr wird festgesetzt auf CHF 14'000.−.</w:t>
      </w:r>
    </w:p>
    <w:p>
      <w:r>
        <w:t>Die weiteren Verfahrenskosten betragen:</w:t>
      </w:r>
    </w:p>
    <w:p>
      <w:r>
        <w:t>CHF</w:t>
      </w:r>
    </w:p>
    <w:p>
      <w:r>
        <w:t>6'900.−</w:t>
      </w:r>
    </w:p>
    <w:p>
      <w:r>
        <w:t>Untersuchungsgebühr (SA.2013.00234)</w:t>
      </w:r>
    </w:p>
    <w:p>
      <w:r>
        <w:t>CHF</w:t>
      </w:r>
    </w:p>
    <w:p>
      <w:r>
        <w:t>26'552.30</w:t>
      </w:r>
    </w:p>
    <w:p>
      <w:r>
        <w:t>amtliche Verteidigung in der Untersuchung</w:t>
      </w:r>
    </w:p>
    <w:p>
      <w:r>
        <w:t>CHF</w:t>
      </w:r>
    </w:p>
    <w:p>
      <w:r>
        <w:t>7'935.40</w:t>
      </w:r>
    </w:p>
    <w:p>
      <w:r>
        <w:t>amtliche Verteidigung in der Untersuchung</w:t>
      </w:r>
    </w:p>
    <w:p>
      <w:r>
        <w:t>CHF</w:t>
      </w:r>
    </w:p>
    <w:p>
      <w:r>
        <w:t>10.50</w:t>
      </w:r>
    </w:p>
    <w:p>
      <w:r>
        <w:t>Zeugenentschädigung H.______ (22.09.2020)</w:t>
      </w:r>
    </w:p>
    <w:p>
      <w:r>
        <w:t>CHF</w:t>
      </w:r>
    </w:p>
    <w:p>
      <w:r>
        <w:t>30'387.50</w:t>
      </w:r>
    </w:p>
    <w:p>
      <w:r>
        <w:t>amtliche Verteidigung vor Kantonsgericht</w:t>
      </w:r>
    </w:p>
    <w:p>
      <w:r>
        <w:t>Die Kosten für die amtliche Verteidigung vor Kantonsgericht erhöhen sich um CHF 290.80 auf CHF 30'678.60, sofern Rechtsanwalt lic. iur. Giovanni Gaggini bei der mündlichen Urteilseröffnung anwesend sein wird.</w:t>
      </w:r>
    </w:p>
    <w:p>
      <w:r>
        <w:rPr>
          <w:b/>
        </w:rPr>
        <w:t>E. 8</w:t>
      </w:r>
    </w:p>
    <w:p>
      <w:r>
        <w:t>Der Privatklägerin wird keine Parteientschädigung zugesprochen.</w:t>
      </w:r>
    </w:p>
    <w:p>
      <w:r>
        <w:rPr>
          <w:b/>
        </w:rPr>
        <w:t>E. 9</w:t>
      </w:r>
    </w:p>
    <w:p>
      <w:r>
        <w:t>Rechtsanwalt lic. iur. Giovanni Gaggini wird als amtliche Verteidigung im Verfahren vor Kantonsgericht mit CHF 30'387.50 (inkl. Auslagen und MwSt.) aus der Gerichtskasse entschädigt.</w:t>
      </w:r>
    </w:p>
    <w:p>
      <w:r>
        <w:t>Sofern Rechtsanwalt lic. iur. Giovanni Gaggini bei der mündlichen Urteilseröffnung anwesend sein wird, erhöht sich die Entschädigung um CHF 290.80 auf CHF30'678.30."</w:t>
      </w:r>
    </w:p>
    <w:p>
      <w:r>
        <w:t>2.       A.______ ist schuldig:</w:t>
      </w:r>
    </w:p>
    <w:p>
      <w:r>
        <w:t>des Betruges im Sinne von Art. 146 Abs. 1 StGB</w:t>
      </w:r>
    </w:p>
    <w:p>
      <w:r>
        <w:t>der Misswirtschaft im Sinne von Art. 165 Ziff. 1 StGB</w:t>
      </w:r>
    </w:p>
    <w:p>
      <w:r>
        <w:t>3.       A.______ wird zu einer Freiheitsstrafe von 20 Monaten verurteilt. Diese wird bedingt aufgeschoben und die Probezeit auf vier Jahre festgelegt.</w:t>
      </w:r>
    </w:p>
    <w:p>
      <w:r>
        <w:t>4.       A.______ wird verpflichtet, der Privatklägerin den Betrag vonEUR 203'242.74nebst Zins zu 5 % seit dem 1. Januar 2013 als Schadenersatz zu bezahlen.Im Übrigen wird die Privatklägerin mit ihrer Zivilklage auf denZivilwegverwiesen.</w:t>
      </w:r>
    </w:p>
    <w:p>
      <w:r>
        <w:t>5.       Die Gerichtsgebühr und die weiteren Kosten für das erstinstanzliche Verfahren SG.2020.00155 und das Untersuchungsverfahren SA.2013.00234 von insgesamt CHF 20'910.50 (exkl. Kosten der amtlichen Verteidigung) werden A.______ auferlegt und von ihm bezogen. Die Kosten der amtlichen Verteidigung für das erstinstanzliche Verfahren sowie das Untersuchungsverfahren von insgesamtCHF 65'166.−werden von A.______ bezogen, wenn es dessen wirtschaftlichen Verhältnisse erlauben. Die wirtschaftlichen Verhältnisse von A.______ werden spätestens im Dezember 2024 überprüft.</w:t>
      </w:r>
    </w:p>
    <w:p>
      <w:r>
        <w:t>6.       Für das Berufungsverfahren wird eine Gerichtsgebühr im Betrag von CHF 12'000.− festgesetzt. Diese Gebühr wird A.______ auferlegt und von ihm bezogen.</w:t>
      </w:r>
    </w:p>
    <w:p>
      <w:r>
        <w:t>7.       Rechtsanwalt lic. iur. Giovanni Gaggini wird für das Berufungsverfahren als amtlicher Verteidiger von A.______ aus der Gerichtskasse mit insgesamtCHF 9'796.40(inkl. Auslagen und Mehrwertsteuer) entschädigt.Dabei wird vorgemerkt, dass dem Verteidiger CHF 5'000.−davon bereits ausbezahlt wurden. A.______ wird verpflichtet, der Gerichtskasse die Kosten der amtlichen Verteidigung für das Berufungsverfahren zurückzuerstatten, wenn es seine wirtschaftlichen Verhältnisse erlauben.</w:t>
      </w:r>
    </w:p>
    <w:p>
      <w:r>
        <w:t>8.       Für das Berufungsverfahren werden keine Parteientschädigungen zugesprochen.</w:t>
      </w:r>
    </w:p>
    <w:p>
      <w:r>
        <w:t>9.       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