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GL-1678 vom 24. Februar 2023</w:t>
      </w:r>
    </w:p>
    <w:p>
      <w:r>
        <w:t>GL Gerichte, 2023-02-24, DE</w:t>
      </w:r>
    </w:p>
    <w:p>
      <w:r>
        <w:rPr>
          <w:b/>
        </w:rPr>
        <w:t xml:space="preserve">Quelle: </w:t>
      </w:r>
      <w:r>
        <w:t>https://mcp.opencaselaw.ch/entscheid/gl_gerichte_GL-1678</w:t>
      </w:r>
    </w:p>
    <w:p>
      <w:r>
        <w:t>FR: GL_GERICHTE GL-1678 du 24 février 2023</w:t>
      </w:r>
    </w:p>
    <w:p>
      <w:r>
        <w:t>IT: GL_GERICHTE GL-1678 del 24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 erwog im vorerwähnten Urteil vom 31. Januar 2023, Staatsanwältin Dorothea Speich weise vorliegend eine "spürbare persönliche Beziehungsnähe" zum Streitgegenstand auf; diese Beziehungsnähe liege darin, dass sie selber in dem von B.______ verlesenen Manifest (vgl. vorne Ziff. I./1.2.) ebenfalls bedroht worden sei und sie nun just gegen den Gesuchsteller wegen Gehilfenschaft zu dieser Drohung ermittle. Aufgrund dessen befinde sich die Staatsanwältin  so die Folgerung des Bundesgerichts  in einer Interessenkollision, womit der Ausstandsgrund von Art. 56 lit. a StPO derart offensichtlich gegeben sei, dass das gegen sie gerichtete Ausstandsgesuch ungeachtet einer allenfalls verspäteten Geltendmachung hätte gutgeheissen werden müssen (Urteil BGer 1B_601/2022 vom 31. Januar 2023 E. 3.3).</w:t>
      </w:r>
    </w:p>
    <w:p>
      <w:r>
        <w:rPr>
          <w:b/>
        </w:rPr>
        <w:t>E. 2</w:t>
      </w:r>
    </w:p>
    <w:p>
      <w:r>
        <w:t>Nach den unmissverständlichen Erwägungen des Bundesgerichts verbleibt dem Obergericht kein Entscheidungsspielraum mehr: Das Ausstandsbegehren des Gesuchstellers vom 27. September 2022 (vgl. vorne Ziff. I./1.3.) ist gutzuheissen, was bedeutet, dass Staatsanwältin Dorothea Speich in der Strafuntersuchung gegen den Gesuchsteller nicht amten darf.</w:t>
      </w:r>
    </w:p>
    <w:p>
      <w:r>
        <w:rPr>
          <w:b/>
        </w:rPr>
        <w:t>E. 3</w:t>
      </w:r>
    </w:p>
    <w:p>
      <w:r>
        <w:t>Bei diesem Ausgang gehen die Gerichtskosten des vorliegenden Ausstandsverfahrens zu Lasten des Kantons. Aus der Gerichtskasse ist dem Gesuchsteller für dessen (geringe) Aufwendungen eine Entschädigung von CHF 600. (inkl. MwSt.) zu entrichten (Art. 59 Abs. 4 i.V.m. Art. 429 Abs. 1 lit. a StPO).</w:t>
      </w:r>
    </w:p>
    <w:p>
      <w:r>
        <w:t>____________________</w:t>
      </w:r>
    </w:p>
    <w:p>
      <w:r>
        <w:t>Das Gerichtbeschliesst: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