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GL-1452 vom 22. März 2021</w:t>
      </w:r>
    </w:p>
    <w:p>
      <w:r>
        <w:t>GL Gerichte, 2021-03-22, DE</w:t>
      </w:r>
    </w:p>
    <w:p>
      <w:r>
        <w:rPr>
          <w:b/>
        </w:rPr>
        <w:t xml:space="preserve">Quelle: </w:t>
      </w:r>
      <w:r>
        <w:t>https://mcp.opencaselaw.ch/entscheid/gl_gerichte_GL-1452</w:t>
      </w:r>
    </w:p>
    <w:p>
      <w:r>
        <w:t>FR: GL_GERICHTE GL-1452 du 22 mars 2021</w:t>
      </w:r>
    </w:p>
    <w:p>
      <w:r>
        <w:t>IT: GL_GERICHTE GL-1452 del 22 marzo 2021</w:t>
      </w:r>
    </w:p>
    <w:p>
      <w:pPr>
        <w:pStyle w:val="Heading2"/>
      </w:pPr>
      <w:r>
        <w:t>Erwägungen</w:t>
      </w:r>
    </w:p>
    <w:p>
      <w:r>
        <w:rPr>
          <w:b/>
        </w:rPr>
        <w:t>E. 3</w:t>
      </w:r>
    </w:p>
    <w:p>
      <w:r>
        <w:t>3.1.Wer in seiner Persönlichkeit widerrechtlich verletzt wird, hat Anspruch auf Leistung einer Geldsumme als Genugtuung, sofern die Schwere der Verletzung es rechtfertigt und diese nicht anders wiedergutgemacht worden ist (Art. 49 Abs. 1 OR).Die Genugtuung bezwecktdenAusgleich für erlittene immaterielle Unbill bzw. erlittenes Unrecht (BGE 132 II 117, E. 2.2.2 mit Hinweisen).Diese Haftungsnorm ist auch einschlägig bei einer Verletzung der sexuellen Integrität, wie sie vorliegend C.______ durch die sexuellen Übergriffe des Beschuldigten widerfuhr (siehe dazuLandolt, Die Entstehung durch unerlaubte Handlungen, Art. 45-49 OR, Kommentar zum schweizerischen Zivilrecht, Zürcher Kommentar, Band/Nr. V/1c/2, 3. völlig neu bearbeite Auflage, Zürich 2007, N. 465 ff. zu Art. 49 OR [nachfolgend zit.: ZK-Landolt]). Im Zusammenhang mit sexuellen Handlungen mit Kindern kann als Folge der Lebenserfahrung vermutungsweise vom Eintritt einer immateriellen Unbill ausgegangen werden (Landolt, Genugtuungsrecht, 2. Aufl., Zürich/St. Gallen 2021, S. 203 N 709).</w:t>
      </w:r>
    </w:p>
    <w:p>
      <w:r>
        <w:t>3.2.Der Umfang der Genugtuung hängt vor allem von der Schwere der körperlichen oder psychischen Leiden ab, welche auf die vom Opfer erlittene Verletzung folgen, sowie von der Möglichkeit, den daraus entstehenden seelischen Schmerz durch die Bezahlung einer Geldsumme merklich zu mildern. Die Festsetzung der Genugtuung fällt in das Ermessen des Richters. Die Genugtuung ist dazu bestimmt, einen Schaden wiedergutzumachen, der nur schwer auf eine Geldsumme reduziert werden kann. Aufgrund ihres Wesens entzieht sie sich jeglicher Festsetzung nach mathematischen Kriterien; die zugesprochene Genugtuung muss jedenfalls recht und billig sein (BGE 125 III 269, E. 2.a = Pra 88 [1999] Nr. 175).Im Gegensatz zu körperlichen Beeinträchtigungen ist die Beeinträchtigung der sexuellen Integrität und der damit verbundene seelische Schmerz, welche Opfer von Sexualdelikten empfinden, objektiv nicht messbar. Bei sexuellen Übergriffen an Kindern liegen die Genugtuungssummen zwischen CHF 10'000. und CHF 50'000. (ZK-Landolt, a.a.O., N 469 zu Art. 49 OR).Das Bundesgericht entschied in einem Fall, in welchem ein zur Tatzeit zehnjähriges Mädchen von ihrem Stiefvater während mindestens eines halben Jahres Berührungen durch Streicheln und Küssen der Brüste und der Schamgegend erdulden musste, wobei das Mädchen während mehreren Monaten durch diese Übergriffe stark gezeichnet, aber nicht schwerwiegend beeinträchtigt worden war, dass die vorinstanzlich ausgesprochene Genugtuung über CHF 6'000. zu tief und damit unangemessen sei. Es hob die Genugtuung auf CHF 10'000. an (vgl.BGE 118 II 410).</w:t>
      </w:r>
    </w:p>
    <w:p>
      <w:r>
        <w:rPr>
          <w:b/>
        </w:rPr>
        <w:t>E. 4</w:t>
      </w:r>
    </w:p>
    <w:p>
      <w:r>
        <w:t>4.1.Da das Obergericht als Rechtsmittelinstanz vorliegend einen neuen Entscheid fällt, ist auch über die von der Vorinstanz getroffene Kostenregelung zu befinden (Art. 428 Abs. 3 StPO). Es ist kein Grund ersichtlich, welcher eine Änderung des vor-instanzlichen Kostenspruchs nahelegen würde, zumal auch die Parteien hiergegen keine konkreten Einwendungen vorgebracht haben. Die entsprechende Kostenregelung (act. 30 S. 41 Disp. Ziff. 11-12 und 14-17) ist daher zu bestätigen, wobei im nachfolgenden Dispositiv unter Ziffer 9 die Gerichtsgebühr beider Instanzen (Vorinstanz CHF 5'000.; Obergericht: CHF 7'000.) als Gesamtbetrag festgehalten wird.</w:t>
      </w:r>
    </w:p>
    <w:p>
      <w:r>
        <w:t>4.2.Anzumerken bleibt, dass die Vorinstanz im angefochtenen Urteil den Hinweis unterlassen hat, wonach der Beschuldigte betreffend die Kosten der unentgeltlichen Verbeiständung der Privatklägerin E.______ im Untersuchungsverfahren sowie im vorinstanzlichen Verfahren über CHF 7'555.15 (act. 20) gegenüber der Gerichtskasse rückzahlungspflichtig wird, sobald er sich in günstigen wirtschaftlichen Verhältnissen befindet (Art. 426 Abs. 4 StPO); das Gleiche gilt mit Bezug auf die Kosten der amtlichen Verteidigung im Untersuchungsverfahren und im vorinstanzlichen Verfahren über CHF 20'329.40 (act. 27; Art. 426 Abs. 1 StPO i.V.m. Art. 135 Abs. 4 StPO). Die entsprechende vorinstanzliche Kostenregelung ist daher im nachfolgenden Dispositiv anzupassen (vgl. dazu nachfolgend Disp. Ziff. 11 und 13).</w:t>
      </w:r>
    </w:p>
    <w:p>
      <w:r>
        <w:t>4.3.Auch mit Bezug auf die Kosten der Prozessführung der Rechtsvertreterin von C.______ ist die vorinstanzliche Kostenregelung im nachfolgenden Dispositiv im eben erwähnten Sinne anzupassen (vgl. dazu nachfolgend Disp. Ziff. 12). Die Vorinstanz übersah, dass die Staatsanwaltschaft mit Bezug auf C.______ die Gewährung der unentgeltlichen Prozessführung auf den 31. Dezember 2017 beendete, da sich deren finanzielle Verhältnisse verändert hatten (vgl. act. 2/6/31, act. 2/6/31/1-2, act. 2/6/32). Betreffend die bis zu diesem Zeitpunkt im Untersuchungsverfahren SA.2012.00075 angefallenen Anwaltskosten von CHF 5'226.90 (CHF 3'388.20 [act. 2/6/22] + CHF 1'838.70 [act. 2/6/33/1]) wurden bereits CHF 4'449.30 vorab aus der Gerichtskasse bezahlt, was vorzumerken ist. Der Beschuldigte wird auch mit Bezug auf diese Kosten gegenüber der Gerichtskasse rückzahlungspflichtig, sobald er sich in günstigen wirtschaftlichen Verhältnissen befindet (Art. 426 Abs. 4 StPO).</w:t>
      </w:r>
    </w:p>
    <w:p>
      <w:r>
        <w:t>Die Kosten der Prozessführung der Rechtsvertreterin von C.______ im vorinstanzlichen Verfahren über CHF 7'908.50 (CHF 3'862. [act. 24] + CHF 4'046.50 [act. 25]) wurden sodann vorab, wie von der Vorinstanz zutreffend festgehalten, vom Departement Volkswirtschaft und Inneres (Opferhilfe) bezahlt (vgl. auch act. 23). Auch bezüglich dieser Kosten wird der Beschuldigte gegenüber dem Departement Volkswirtschaft und Inneres (Opferhilfe) rückzahlungspflichtig, sobald er sich in günstigen wirtschaftlichen Verhältnissen befindet (Art. 426 Abs. 4 StPO analog).</w:t>
      </w:r>
    </w:p>
    <w:p>
      <w:r>
        <w:rPr>
          <w:b/>
        </w:rPr>
        <w:t>E. 5</w:t>
      </w:r>
    </w:p>
    <w:p>
      <w:r>
        <w:t>5.1.Die Privatklägerin C.______ verlangt vom Beschuldigten als Parteientschädigung für das Berufungsverfahren den Differenzbetrag zwischen dem von der Opferhilfe finanzierten (reduzierten) Anwaltshonorar und dem vollen Anwaltshonorar (vgl. act. 65 S. 6 und den eingangs wiedergegebenen Antrag Ziff. 3).</w:t>
      </w:r>
    </w:p>
    <w:p>
      <w:r>
        <w:t>5.2.Die Privatklägerschaft hat gegenüber der beschuldigten Person Anspruch auf angemessene Entschädigung für notwendige Aufwendungen, wenn sie obsiegt (Art. 433 Abs. 1 lit. a StPO). Diese Voraussetzung einer Entschädigungspflicht des Beschuldigten ist vorliegend gegeben, hat sich nämlich die Privatklägerin C.______ als Straf- und Zivilklägerin konstituiert (act. 2/1/6) und wird vorliegend der Beschuldige verurteilt und zur Bezahlung einer Genugtuung verpflichtet (siehe dazuSchmid/Jositsch, Praxiskommentar, a.a.O., N 6 zu Art. 433 StPO).</w:t>
      </w:r>
    </w:p>
    <w:p>
      <w:r>
        <w:rPr>
          <w:b/>
        </w:rPr>
        <w:t>E. 5.3</w:t>
      </w:r>
    </w:p>
    <w:p>
      <w:r>
        <w:t>5.3.1.Vorliegend stellte die Rechtsvertreterin von C.______ dem Departement Volkswirtschaft und Inneres (Opferhilfe) bereits ein (reduziertes) Honorar mit einem Ansatz von CHF 180. pro Stunde in Rechnung (vgl. act. 66/2). Im Berufungsverfahren reichte sie zudem eine Honorarnote mit einem Ansatz von CHF 260. pro Stunde ein (vgl. act. 66/1) und verlangt vom Beschuldigten den Differenzbetrag zwischen dem von der Opferhilfe finanzierten (reduzierten) Anwaltshonorar und dem vollen Anwaltshonorar (vgl. act. 65 S. 6). Bei der Berechnung der vollen Anwaltsentschädigung ist praxisgemäss von einem Stundenansatz von CHF 220. auszugehen (vgl. auch Telefonnotiz in act. 66/1 S. 2). Der Differenzbetrag gegenüber der Entschädigung durch die Opferhilfe von CHF 180. pro Stunde beträgt folglich CHF 40..</w:t>
      </w:r>
    </w:p>
    <w:p>
      <w:r>
        <w:t>5.3.2.Die Rechtsvertreterin macht für das Berufungsverfahren geleistete Arbeitsstunden von 19.82 geltend (vgl. act. 66/1), darin enthalten sind 4 Stunden für die Hauptverhandlung, welche knapp 3 Stunden gedauert hat (vgl. act. 59). Für das Studium des obergerichtlichen Urteils bzw. dessen Besprechung mit der Klientschaft erscheinen vorliegend 2 Stunden als angemessen, weshalb die von der Rechtsvertreterin geltend gemachten Arbeitsstunden um 1 Stunde zu erhöhen sind (Berufungsverhandlung [3 h] + Studium/Besprechung Urteil  [2h] = 5 Stunden, wobei 4 h bereits in der Honorarnote enthalten sind [act. 66/1]). Somit ist die Rechtsvertreterin von C.______ für das Berufungsverfahren für 20.82 Arbeitsstunden (19.82 h + 1 h) zu entschädigen. Demnach ist vorliegend ein Honorar über CHF 832.80 (20.82 h x CHF 40.) geschuldet. Hinzukommen die Auslagen über CHF 14. (vgl. act. 66/1) und die Mehrwertsteuer über CHF 65.20 (7.7 % MwSt. von CHF 846.80 [CHF 832.80 + CHF 14.]). Somit hat der Beschuldigte C.______ für das Berufungsverfahren eine Parteientschädigung von insgesamt CHF 912. (CHF 846.80 [Honorar und Auslagen] + CHF 65.20 [7.7 % MwSt.]) zu bezahlen.</w:t>
      </w:r>
    </w:p>
    <w:p>
      <w:r>
        <w:t>6.Zu den Kosten des Berufungsverfahrens zählen auch die Kosten der amtlichen Verteidigung (Art. 422 Abs. 2 lit. a StPO). Der Beschuldigte wurde durch seinen amtlichen Verteidiger vertreten. Der Verteidiger macht Aufwendungen in der Höhe von CHF 10'881.60 (inkl. Auslagen und 7.7 % MwSt.) geltend (act. 74/1). Darin enthalten sind 6 Stunden für die Berufungsverhandlung, welche knapp 3 Stunden dauerte (act. 59). Praxisgemäss und in Anlehnung an die Zürcher Regelung, wird die Anreise zu Verhandlungen pro Weg mit maximal ½ Stunde vergütet; dies gilt auch für Auswärtige (vgl. https://www.gerichte-zh.ch/fileadmin/user_upload/Dokumente/Themen/Allgemeine_Dokumente/Prozesskosten/M_Entschaedigung.pdf; zuletzt besucht am 4. März 2021). Entsprechend ist der Verteidiger für die Hin- und Rückreise mit 1 Stunde zu entschädigen. Dies ergibt eine Entschädigung für die Berufungsverhandlung von insgesamt 4 Stunden (3 h [Verhandlung] + 1 h [Weg]) und nicht von 6 Stunden (vgl. act. 74/1); die Honorarnote wäre entsprechend um 2 Stunden zu kürzen. Da in der Honorarnote des Verteidigers jedoch die Aufwendungen für das Studium des obergerichtlichen Urteils sowie dessen Besprechung mit der Klientschaft fehlen und der Rechtsvertreterin von C.______ dafür 2 Stunden aufgerechnet wurden (vgl. soeben E.X.5.3.2), kann vorliegend von einer Kürzung der eingereichten Honorarnote (act. 74/1) abgesehen werden. Entsprechend ist der Verteidiger mit CHF 10'881.60 (inkl. Auslagen und 7.7 % MwSt.; act. 74/1) zu entschädigen, was als angemessen erscheint (Art. 3 Abs. 1 i.V.m. Art. 6 Abs. 1 des Tarifs für die Entschädigung der öffentlichen Verteidigung und der unentgeltlichen Rechtsvertretung [GS III I/5]). Die Entschädigung der amtlichen Verteidigung erfolgt vorab durch die Gerichtskasse (Art. 426 Abs. 1 StPO). Der Beschuldigte wird gegenüber der Gerichtskasse rückzahlungspflichtig, sobald er sich in günstigen wirtschaftlichen Verhältnissen befindet (Art. 426 Abs. 1 i.V.m. Art. 135 Abs. 4 StPO).</w:t>
      </w:r>
    </w:p>
    <w:p>
      <w:r>
        <w:t>____________________</w:t>
      </w:r>
    </w:p>
    <w:p>
      <w:r>
        <w:t>Das Gericht erkennt:</w:t>
      </w:r>
    </w:p>
    <w:p>
      <w:r>
        <w:t>1.</w:t>
      </w:r>
    </w:p>
    <w:p>
      <w:r>
        <w:t>Es wird vorgemerkt, dass die nachfolgenden Dispositivziffern des Urteils der Strafgerichtskommission des Kantonsgerichts Glarus vom 31. Juli 2019 im Verfahren SG.2018.00091 unangefochten in Rechtskraft erwachsen sind:</w:t>
      </w:r>
    </w:p>
    <w:p>
      <w:r>
        <w:t>«2.</w:t>
      </w:r>
    </w:p>
    <w:p>
      <w:r>
        <w:t>Das Strafverfahren gegen A.______ wird bezüglich des Tatvorwurfs der Pornografie im Sinne von Art. 197 Abs. 3bisaStGB infolge eingetretener Verjährung eingestellt.</w:t>
      </w:r>
    </w:p>
    <w:p>
      <w:r>
        <w:t>3.</w:t>
      </w:r>
    </w:p>
    <w:p>
      <w:r>
        <w:t>Es wird festgestellt, dass die Staatsanwaltschaft des Kantons Glarus das Beschleunigungsgebot verletzt hat.</w:t>
      </w:r>
    </w:p>
    <w:p>
      <w:r>
        <w:rPr>
          <w:b/>
        </w:rPr>
        <w:t>E. 6</w:t>
      </w:r>
    </w:p>
    <w:p>
      <w:r>
        <w:t>Die folgenden bei A.______ beschlagnahmten Gegenstände werden diesem herausgegeben:</w:t>
      </w:r>
    </w:p>
    <w:p>
      <w:r>
        <w:t></w:t>
      </w:r>
    </w:p>
    <w:p>
      <w:r>
        <w:t>iPhone 3, 16 GB, schwarz, IMEI 012161005351396 (act. 2/1/11, Pos. 1);</w:t>
      </w:r>
    </w:p>
    <w:p>
      <w:r>
        <w:t></w:t>
      </w:r>
    </w:p>
    <w:p>
      <w:r>
        <w:t>externe Festplatte, iomega, grau, SN 97AV45B191, inkl. Kabel (act. 2/1/11, Pos. 2).</w:t>
      </w:r>
    </w:p>
    <w:p>
      <w:r>
        <w:rPr>
          <w:b/>
        </w:rPr>
        <w:t>E. 9</w:t>
      </w:r>
    </w:p>
    <w:p>
      <w:r>
        <w:t>Der Antrag von E.______ betreffend Genugtuung wird abgewiesen.</w:t>
      </w:r>
    </w:p>
    <w:p>
      <w:r>
        <w:rPr>
          <w:b/>
        </w:rPr>
        <w:t>E. 10</w:t>
      </w:r>
    </w:p>
    <w:p>
      <w:r>
        <w:t>Der Antrag von C.______ betreffend Publikation des Urteils wird abgewiesen.</w:t>
      </w:r>
    </w:p>
    <w:p>
      <w:r>
        <w:rPr>
          <w:b/>
        </w:rPr>
        <w:t>E. 14</w:t>
      </w:r>
    </w:p>
    <w:p>
      <w:r>
        <w:t>E.______ wird keine Parteientschädigung zugesprochen.</w:t>
      </w:r>
    </w:p>
    <w:p>
      <w:r>
        <w:rPr>
          <w:b/>
        </w:rPr>
        <w:t>E. 15</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