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GL-1420 vom 7. August 2020</w:t>
      </w:r>
    </w:p>
    <w:p>
      <w:r>
        <w:t>GL Gerichte, 2020-08-07, DE</w:t>
      </w:r>
    </w:p>
    <w:p>
      <w:r>
        <w:rPr>
          <w:b/>
        </w:rPr>
        <w:t xml:space="preserve">Quelle: </w:t>
      </w:r>
      <w:r>
        <w:t>https://mcp.opencaselaw.ch/entscheid/gl_gerichte_GL-1420</w:t>
      </w:r>
    </w:p>
    <w:p>
      <w:r>
        <w:t>FR: GL_GERICHTE GL-1420 du 7 août 2020</w:t>
      </w:r>
    </w:p>
    <w:p>
      <w:r>
        <w:t>IT: GL_GERICHTE GL-1420 del 7 agosto 2020</w:t>
      </w:r>
    </w:p>
    <w:p>
      <w:pPr>
        <w:pStyle w:val="Heading2"/>
      </w:pPr>
      <w:r>
        <w:t>Erwägungen</w:t>
      </w:r>
    </w:p>
    <w:p>
      <w:r>
        <w:rPr>
          <w:b/>
        </w:rPr>
        <w:t>E. 1</w:t>
      </w:r>
    </w:p>
    <w:p>
      <w:r>
        <w:t>In Gutheissung der Beschwerde sei die Verfügung des Zwangsmassnahmengerichts des Kantons Glarus vom 3. Juli 2020 (Verfahren SG.2020.00077) aufzuheben, dem Haftentlassungsgesuch vom 26. Juni 2020 sei stattzugeben und A.______ sei umgehend aus der Untersuchungshaft zu entlassen.</w:t>
      </w:r>
    </w:p>
    <w:p>
      <w:r>
        <w:rPr>
          <w:b/>
        </w:rPr>
        <w:t>E. 2</w:t>
      </w:r>
    </w:p>
    <w:p>
      <w:r>
        <w:t>Es sei festzustellen, dass die Staats- und Jugendanwaltschaft des Kantons Glarus im Verfahren gegen A.______ das Beschleunigungsgebot in Haftsachen verletzt hat.</w:t>
      </w:r>
    </w:p>
    <w:p>
      <w:r>
        <w:rPr>
          <w:b/>
        </w:rPr>
        <w:t>E. 3</w:t>
      </w:r>
    </w:p>
    <w:p>
      <w:r>
        <w:t>Oktober 2018 gegen neun Personen ermittelt wird. Dem Beschuldigten wird vorgeworfen, in diesem Delikt zusammen mit einer weiteren Person, den beiden Haupttätern den Auftrag erteilt zu haben, C.______ umzubringen. Beim Delikt in [...] geht es nicht nur (noch) um die Klärung der Sachverhaltskomplexe Auftragserteilung und Geldübergaben, sondern, wie die Staatsanwaltschaft ausführt, auch um zahlreiche Nebendelikte von mitbeschuldigten Personen. Weiter ist offensichtlich, dass beim Delikt [...] auch die verschiedenen Täterformen sorgfältig zu untersuchen sind. Darüber hinaus wird dem Beschuldigten vorgeworfen, unrechtmässig Taggelder von der [] bezogen zu haben. Die dem Beschuldigten vorgeworfenen Delikte wiegen ausserordentlich schwer. Der Beschuldigte muss bei einer (höchst wahrscheinlichen) Verurteilung mit einer mehrjährigen Freiheitsstrafe und einer obligatorischen Landesverweisung rechnen(Art. 66a Abs. 1 lit. a, b und e StGB).Es ist in aller Deutlichkeit festzuhalten, dass der dringende Tatverdacht gegen den Beschuldigten aus heutiger Sicht immer noch geradezuerdrückendist. Zudem ist beim Beschuldigten immer noch von Kollusionsgefahr und von einerhochgradigen Fluchtgefahrauszugehen. Eine Überhaft droht nicht.</w:t>
      </w:r>
    </w:p>
    <w:p>
      <w:r>
        <w:t>3.6.Die vom Beschuldigten angeführte bundesgerichtliche Rechtsprechung hinsichtlich der geltend gemachten Verletzung des Beschleunigungsgebots (BGer 1B_446/2013 Urteil vom 23. Januar 2014) ist mit dem vorliegenden Fall nicht vergleichbar. In jenem Verfahren befand sich der Beschuldigte seit fünf Monaten in Untersuchungshaft. Das Obergericht Zürich bejahte das Vorliegen des dringenden Tatverdachts sowie die Kollusionsgefahr. Bezüglich der noch vorzunehmenden Ermittlungshandlungen hielt das Bundesgericht dafür, dass diese schon längst hätten vollzogen werden können. Die allenfalls bloss noch geringe und vorwiegend theoretische Kollusionsgefahr rechtfertige die bewilligte Untersuchungshaft des Beschwerdeführers nicht mehr. Aus diesen Gründen hiess das Bundesgericht die Beschwerde des Beschuldigten gut und entliess ihn unverzüglich aus der Untersuchungshaft (BGer 1B_446/2013 Urteil vom 23. Januar 2014).</w:t>
      </w:r>
    </w:p>
    <w:p>
      <w:r>
        <w:t>In jenem Fall lag nach Ansicht des Bundesgerichts nur noch der allgemeine Haftgrund des dringenden Tatverdachts vor, jedoch kein besonderer Haftgrund, wonach auch die Voraussetzungen von Art. 221 Abs. 1 StPO für Untersuchungshaft schon gar nicht mehr erfüllt waren. Es erschliesst sich dem Obergericht nicht, was der Beschuldigte aus diesem Bundesgerichtsurteil für sich ableiten möchte, sind vorliegend beim Beschuldigten die Voraussetzungen für Untersuchungshaft von Art. 221 Abs. 1 StPO zweifelsfrei erfüllt und ist diese auch verhältnismässig.</w:t>
      </w:r>
    </w:p>
    <w:p>
      <w:r>
        <w:t>3.7.Es ist nicht angezeigt, der Staatsanwaltschaft Anweisung betreffend weiterem Vorgehen zu erteilen oder ihr gar einen fixen Termin für die Beendigung der Strafuntersuchung resp. Anklageerhebung zu setzen. Bezüglich weiterem Vorgehen führt die Staatsanwaltschaft aus, dass sie die 19 Bundesordner umfassenden Strafuntersuchungsakten in den nächsten Wochen den beschuldigten Personen resp. deren Verteidigungen zur Einsicht zustellen werde und sie schliesslich mit neunbeschuldigten Personen und deren Verteidigungen Schlusseinvernahmen, eventuell noch Konfrontationseinvernahmen, durchzuführen plane (act. 28). Dass diese wichtigen und abschliessenden Untersuchungshandlungen sorgfältig geplant werden müssen, was ein nicht unerheblicher Zeitaufwand bedeutet, ist nicht von der Hand zu weisen.</w:t>
      </w:r>
    </w:p>
    <w:p>
      <w:r>
        <w:t>3.8.Im Lichte der vorstehenden Erwägungen ist die Beschwerde des Beschuldigten vollumfänglich abzuweisen. Demnach dauert die Untersuchungshaft gegen den Beschuldigten einstweilen gemäss dem Entscheid des Zwangsmassnahmengerichts vom 28. Mai 2020 noch bis am 28. August 2020 fort (SG.2020.00057 act. 14).</w:t>
      </w:r>
    </w:p>
    <w:p>
      <w:r>
        <w:t>4.Der Beschuldigte ist darauf hinzuweisen, dass er jederzeit bei der Staatsanwaltschaft ein Entlassungsgesuch stellen kann (Art. 228 Abs. 1 StPO).</w:t>
      </w:r>
    </w:p>
    <w:p>
      <w:r>
        <w:t>IV.</w:t>
      </w:r>
    </w:p>
    <w:p>
      <w:r>
        <w:t>Die Regelung der Kostenfolgen hat im Endentscheid zu erfolgen (Art. 421 Abs. 1 StPO). Die Gerichtsgebühr für das Beschwerdeverfahren ist zuhanden der das Strafverfahren abschliessenden Behörde auf CHF 600. festzulegen (Art. 8 Abs. 2 lit. b i.V.m. Art. 6 derZivil- und Strafprozesskostenverordnung [GS III A/5]) und zu den Untersuchungskosten im Sinne von Art. 326 Abs. 1 lit. d StPO zu schlagen. Parteientschädigungen sind keine zuzusprechen(Art. 423 Abs. 1 StPO).</w:t>
      </w:r>
    </w:p>
    <w:p>
      <w:r>
        <w:t>Die Entschädigung des amtlichen Verteidigers des Beschuldigten für seine im Beschwerdeverfahren getätigten Aufwendungen wird durch die Staatsanwaltschaftoder das urteilende Gericht bei Abschluss des Strafverfahrens festzusetzen sein (Art. 135 Abs. 2 StPO).</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