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GL-1375 vom 29. Januar 2014</w:t>
      </w:r>
    </w:p>
    <w:p>
      <w:r>
        <w:t>GL Gerichte, 2014-01-29, DE</w:t>
      </w:r>
    </w:p>
    <w:p>
      <w:r>
        <w:rPr>
          <w:b/>
        </w:rPr>
        <w:t xml:space="preserve">Quelle: </w:t>
      </w:r>
      <w:r>
        <w:t>https://mcp.opencaselaw.ch/entscheid/gl_gerichte_GL-1375</w:t>
      </w:r>
    </w:p>
    <w:p>
      <w:r>
        <w:t>FR: GL_GERICHTE GL-1375 du 29 janvier 2014</w:t>
      </w:r>
    </w:p>
    <w:p>
      <w:r>
        <w:t>IT: GL_GERICHTE GL-1375 del 29 gennaio 2014</w:t>
      </w:r>
    </w:p>
    <w:p>
      <w:pPr>
        <w:pStyle w:val="Heading2"/>
      </w:pPr>
      <w:r>
        <w:t>Erwägungen</w:t>
      </w:r>
    </w:p>
    <w:p>
      <w:r>
        <w:rPr>
          <w:b/>
        </w:rPr>
        <w:t>E. 1</w:t>
      </w:r>
    </w:p>
    <w:p>
      <w:r>
        <w:t>B.______</w:t>
      </w:r>
    </w:p>
    <w:p>
      <w:r>
        <w:t>Beschwerdegegner</w:t>
      </w:r>
    </w:p>
    <w:p>
      <w:r>
        <w:rPr>
          <w:b/>
        </w:rPr>
        <w:t>E. 2</w:t>
      </w:r>
    </w:p>
    <w:p>
      <w:r>
        <w:t>Gemeinde Glarus Süd</w:t>
      </w:r>
    </w:p>
    <w:p>
      <w:r>
        <w:rPr>
          <w:b/>
        </w:rPr>
        <w:t>E. 3</w:t>
      </w:r>
    </w:p>
    <w:p>
      <w:r>
        <w:t>Departement Bau und Umwelt des Kantons Glarus</w:t>
      </w:r>
    </w:p>
    <w:p>
      <w:r>
        <w:rPr>
          <w:b/>
        </w:rPr>
        <w:t>E. 4</w:t>
      </w:r>
    </w:p>
    <w:p>
      <w:r>
        <w:t>4.1Ob etwas der Baubewilligungspflicht unterliegt oder nicht, bestimmt sich nach Bundesrecht und nicht nach dem möglicherweise liberaleren Bauverfahrensrecht (vgl. Rudolf Muggli, in Heinz Aemisegger et al. [Hrsg.], Praxiskommentar RPG: Bauen ausserhalb der Bauzone, Zürich/Basel/Genf 2017, Art. 24a N. 9). Grundlage bildet dabei Art. 22 Abs. 1 RPG, wonach Bauten und Anlagen nur mit behördlicher Bewilligung errichtet oder geändert werden dürfen. Aus dieser Bestimmung folgt nun aber nicht, dass nur Vorhaben mit baulichen Massnahmen einer Baubewilligungspflicht unterliegen. So sind grundsätzlich auch reine Umnutzungen ohne bauliche Massnahmen baubewilligungspflichtig, es sei denn, der neue Verwendungszweck entspricht der in der fraglichen Zone zulässigen Nutzung und die Änderung hinsichtlich ihrer Auswirkungen auf Umwelt und Planung erweist sich als ausgesprochen geringfügig. Demgegenüber ist aber auch eine zonenkonforme Nutzungsänderung bewilligungspflichtig, wenn die mit der neuen Nutzung verbundenen Auswirkungen intensiver sind als die bisherigen, was bei einer deutlichen Zunahme der Immissionen der Fall ist (BGer-Urteil 1C_558/2018 vom 9. Juli 2019 E. 2.4; vgl. auch Markus Möhr, in Jürg Bereuter/Jörg Frei/Werner Ritter [Hrsg.], Kommentar zum Planungs- und Baugesetz des Kantons St. Gallen, Basel 2020, Art. 135 N. 6).</w:t>
      </w:r>
    </w:p>
    <w:p>
      <w:r>
        <w:t>4.2Die streitbetroffene Parzelle, auf welcher der Beschwerdeführer nach eigenen Angaben geschlagenes Holz trocknen bzw. lagern und forstwirtschaftliche Maschinen sowie Gerätschaften unterbringen will, liegt unbestrittenermassen in der Landwirtschaftszone. Er verfolgt somit keinen Zweck im Sinne einer landwirtschaftlichen Bewirtschaftung gemäss Art. 16a RPG. Vielmehr handelt es sich um eine zonenfremde Nutzung, womit das anbegehrte Vorhaben nach dem oben Dargelegten ohne Weiteres einer Baubewilligungspflicht unterliegt. Dies geht im Übrigen selbst aus Art. 73 Abs. 1 lit. mder Bauverordnung des Kantons Glarus vom 2. Mai 2010 (BauV) hervor, wonach Nutzungsänderungen ausserhalb der Bauzone bewilligungspflichtige Vorhaben darstellen. Diesbezüglich sind die vorinstanzlichen Ausführungen dahingehend zu ergänzen, als dass dieser kantonalen Bestimmung eigenständige Bedeutung zukommt, zumal es den Kantonen vorbehalten bleibt, über den bundesrechtlichen Mindeststandard hinauszugehen und weitere Vorgänge für bewilligungspflichtig zu erklären (vgl. BGer-Urteil1C_131/2018 vom 27. August 2018 E. 3.2). Damit steht fest, dass der Beschwerdeführer für die anbegehrte Umnutzung entgegen seiner Ansicht eine Baubewilligung benötigt, weshalb mangels Zonenkonformität einzig die Erteilung einer Ausnahmebewilligung gestützt auf die Art. 24, 24a und 24c RPG in Betracht fällt.</w:t>
      </w:r>
    </w:p>
    <w:p>
      <w:r>
        <w:rPr>
          <w:b/>
        </w:rPr>
        <w:t>E. 5.1</w:t>
      </w:r>
    </w:p>
    <w:p>
      <w:r>
        <w:t>5.1.1Nach Art. 24 Abs. 1 RPG kann eine Ausnahmebewilligung erteilt werden, wenn der Zweck der Baute einen Standort ausserhalb der Bauzone erfordert (lit. a) und dem Vorhaben keine überwiegenden Interessen entgegenstehen (lit. b). Die Standortgebundenheit ist zu bejahen, wenn die Baute oder Anlage aus technischen oder betriebswirtschaftlichen Gründen oder wegen der Bodenbeschaffenheit auf einen Standort ausserhalb der Bauzone angewiesen ist (positive Standortgebundenheit) oder wenn ein Werk aus bestimmten Gründen in einer Bauzone ausgeschlossen ist (negative Standortgebundenheit). Dabei beurteilen sich die Voraussetzungen nach objektiven Massstäben, und es kann weder auf die subjektiven Vorstellungen des Einzelnen noch auf die persönliche Zweckmässigkeit oder Bequemlichkeit ankommen (VGer-Urteil VG.2016.00078 vom 22. Dezember 2016 E. II/4.3.1).</w:t>
      </w:r>
    </w:p>
    <w:p>
      <w:r>
        <w:t>5.1.2Die vom Beschwerdeführer anbegehrte Umnutzung der streitbetroffenen Parzelle, namentlich die Lagerung und Trocknung von geschlagenem Holz sowie die Deponierung von forstwirtschaftlichen Maschinen und Gerätschaften, ist in der Bauzone erlaubt und nicht auf einen Standort ausserhalb der Bauzone angewiesen. Der Beschwerdegegner 4 weist diesbezüglich zudem zu Recht darauf hin, dass im Kanton Glarus genügend geeignete Plätze innerhalb der Bauzone für solche Vorhaben zur Verfügung stehen, wobei der Beschwerdeführer nicht substantiiert vorbringt, weshalb sich ein anderer, in der Bauzone liegender Lagerplatz für die von ihm geplante Nutzung nicht eignen würde. Des Weiteren führt der Beschwerdeführer keine alternativen Standorte auf. Lediglich in seinem Rodungsgesuch weist er pauschal darauf hin, dass die Suche keine geeigneten Standorte ergeben habe, womit davon auszugehen ist, dass die Wahl des Standortes überwiegendauf seinen subjektiven Vorstellungen basiert, was für die Erteilung einer Ausnahmebewilligung gestützt auf Art. 24 RPG nicht genügt. Daraus folgt, dass ihm mangels Standortgebundenheit zu Recht keine Ausnahmebewilligung im Sinne von Art. 24 RPG erteilt wurde.</w:t>
      </w:r>
    </w:p>
    <w:p>
      <w:r>
        <w:t>5.2Art. 24a RPG regelt sodann die Ausnahmebewilligung für Zweckänderungen ohne bauliche Massnahmen ausserhalb der Bauzone. Erfordert die Änderung des Zwecks einer Baute oder Anlage ausserhalb der Bauzonen keine baulichen Massnahmen im Sinne von Art. 22 Abs. 1 RPG, ist die Bewilligung zu erteilen, wenn dadurch keine neuen Auswirkungen auf Raum, Erschliessung und Umwelt entstehen (lit. a); und sie nach keinem anderen Bundeserlass unzulässig ist (lit. b). Hierbei gilt es jedoch zu beachten, dass Art. 24a RPG nur auf reine, nach Art. 22 RPG nicht bewilligungspflichtige Zweckänderungen anwendbar ist bzw. bauwilligungspflichtige Zweckänderungen von vornherein ausschliesst. Da nach dem Gesagten im vorliegenden Fall eine Baubewilligungspflicht für die Zweckänderung besteht (vgl. vorstehende E. II/4.2), kann der Beschwerdeführer gestützt auf Art. 24a RPG keinen Anspruch auf eine Bewilligung begründen (vgl. BGer-Urteil 1C_131/2018 vom 27. August 2018 E. 3.3, 1C_784/2013 vom 23. Juni 2014 E. 3.3; Muggli, Art. 24a N. 9).</w:t>
      </w:r>
    </w:p>
    <w:p>
      <w:r>
        <w:rPr>
          <w:b/>
        </w:rPr>
        <w:t>E. 5.3</w:t>
      </w:r>
    </w:p>
    <w:p>
      <w:r>
        <w:t>5.3.1Gemäss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und geändert worden sind (Abs. 2). In jedem Fall bleibt die Vereinbarkeit mit den wichtigen Anliegen der Raumplanung vorbehalten (Abs. 5). Gemäss Art. 41 Abs. 1 der Raumplanungsverordnung vom 28. Juni 2000 (RPV) ist Art. 24c RPG anwendbar auf Bauten und Anlagen, die rechtmässig erstellt oder geändert worden sind, bevor das betreffende Grundstück Bestandteil des Nichtbaugebiets im Sinne des Bundesrechts wurde. Änderungen an Bauten und Anlagen, auf die Art. 24c RPG anwendbar ist, sind gemäss Art. 42 Abs. 1 RPV zulässig, wenn die Identität der Baute oder Anlage einschliesslich ihrer Umgebung in den wesentlichen Zügen gewahrt bleibt. Verbesserungen gestalterischer Art sind dabei zulässig. Massgeblicher Vergleichszustand für die Beurteilung der Identität ist der Zustand, in dem sich die Baute oder Anlage im Zeitpunkt der Zuweisung zum Nichtbaugebiet befand (Art. 42 Abs. 2 RPV). Ob die Identität der Baute oder Anlage gewahrt bleibt, ist unter Würdigung der gesamten Umstände zu beurteilen (Art. 42 Abs. 3 RPV). Massgebender Stichtag für die Anwendbarkeit von Art. 24c RPG ist das Inkrafttreten des ersten Gewässerschutzgesetzes am 1. Juli 1972, mit welchem erstmals eine strenge Trennung von Baugebiet und Nichtbaugebiet eingeführt wurde.</w:t>
      </w:r>
    </w:p>
    <w:p>
      <w:r>
        <w:t>Bei der Prüfung, ob eine Bewilligung nach Art. 24c RPG zu erteilen ist, sind in allgemeiner Weise unter anderem innerhalb des Gebäudes vorgenommene Nutzungsänderungen und Umbauten, Veränderungen des äusseren Erscheinungsbildes sowie neue Auswirkungen auf die Nutzungsordnung und die Umwelt zu berücksichtigen. Massgebend ist dabei, was für eine Nutzung nach dem Umbau aufgrund des Ausbaustandards objektiv möglich ist und nicht, was der Bauherr subjektiv anstrebt. Bei Zweckänderungen kann eine Wesensgleichheit nur dann bejaht werden, wenn sie nicht zu einer völlig neuen wirtschaftlichen Zweckbestimmung führen und von der ursprünglichen Nutzungsart nicht grundlegend abweichen (vgl. zum GanzenBernhard Waldmann/Peter Hänni, Handkommentar zum Raumplanungsgesetz, Bern 2006, Art. 24c N. 19, mit Hinweisen).</w:t>
      </w:r>
    </w:p>
    <w:p>
      <w:r>
        <w:t>5.3.2Beim vorliegend streitbetroffenen Gebäude handelt es sich nach Angaben des Beschwerdeführers um ein zwischen 1944 und 1946 erbautes und in der Folge durch das Militär genutztes Materiallager. Grundsätzlich fällt eine solche Baute, die vor der massgeblichen Rechtsänderung vom 1. Juli 1972 gestützt auf das Spezialrecht des Bundes erstellt wurde, in den Anwendungsbereich von Art. 24c RPG (vgl. Bundesamt für Raumentwicklung (ARE), Erläuterungen zur Raumplanungsverordnung und Empfehlungen für den Vollzug, Bern 2001, Teil I, Erläuterungen zur Raumplanungsverordnung, Artikel 41, S. 44).</w:t>
      </w:r>
    </w:p>
    <w:p>
      <w:r>
        <w:t>5.3.3Mit Blick auf Art. 24c RPG liegt vorliegend ein Grenzfall zwischen einer unzulässigen Umnutzung und einer geringfügigen Zweckänderung vor. Dem Beschwerdegegner 4 ist immerhin darin beizupflichten, soweit er mit Blick auf eine geplante gewerbsmässige Nutzung der streitbetroffenen Parzelle von keiner Geringfügigkeit mehr ausging, da eine solche Umnutzung gegenüber dem früheren Zustand mit einer erhöhten Nutzungsintensität im Sinne von Mehrverkehr und Immissionen, etwa in Form von Lärm oder Licht, einhergehen würde, wodurch eine unzulässige vollständige Zweckänderung vorliegen würde (VGer-Urteil 2013.00084 vom 29. Januar 2014 E. II/5.4). Indessen hat die zuständige Behörde im Sinne des im Verwaltungsrecht geltenden Grundsatzes der Verhältnismässigkeit jeweils zu prüfen, ob  statt eine Bewilligung zu verweigern oder ein gänzliches Verbot auszusprechen  der rechtmässige Zustand durch eine mit der Bewilligung verknüpfte Auflage oder Bedingung herbeigeführt werden kann (BGer-Urteil 1C_619/2017 vom 29. August 2018 E. 6.3). Dies ist vorliegend der Fall. So hätte die Bewilligungsbehörde die Umnutzung einerseits mit einer Auflage verknüpfen können, die dem Beschwerdeführer die gewerbsmässige Nutzung untersagt. Andererseits wäre möglich gewesen, die Mehrfahrten auf das gewünschte Mass zu beschränken. Indem der Beschwerdegegner 3 dies unterliess, folgt nun aber nicht, dass dem Beschwerdeführer gestützt auf Art. 24c RPG eine Ausnahmebewilligung zu erteilen wäre. Wie sich aus nachstehender Erwägung nämlich ergibt, besteht für die vom Beschwerdeführer vorgesehene Nutzung auf der streitbetroffenen Parzelle selbst dann kein Raum, wenn die Voraussetzungen für eine Bewilligung nach Art. 24c RPG erfüllt wären.</w:t>
      </w:r>
    </w:p>
    <w:p>
      <w:r>
        <w:rPr>
          <w:b/>
        </w:rPr>
        <w:t>E. 6</w:t>
      </w:r>
    </w:p>
    <w:p>
      <w:r>
        <w:t>Die Beschwerdegegner vertreten die Auffassung, die streitbetroffene Parzelle bilde zumindest teilweise Waldareal, weshalb für die vom Beschwerdeführer geplante Umnutzung zusätzlich zur Ausnahmebewilligung eine Rodungsbewilligung erforderlich sei, deren Voraussetzungen jedoch nicht erfüllt seien.</w:t>
      </w:r>
    </w:p>
    <w:p>
      <w:r>
        <w:rPr>
          <w:b/>
        </w:rPr>
        <w:t>E. 6.1</w:t>
      </w:r>
    </w:p>
    <w:p>
      <w:r>
        <w:t>6.1.1Nach Art. 2 Abs. 1 WaG gilt als Wald jede Fläche, die mit Waldbäumen oder Waldsträuchern bestockt ist und Waldfunktionen erfüllen kann. Entstehung, Nutzungsarten und Bezeichnung imGrundbuch sind nicht massgebend. Waldfunktionen sind dabei vor allem die Schutz-, Wohlfahrts- und Nutzfunktion des Waldes (Art. 1 Abs. 1 lit. c WaG). Nicht als Wald gelten unter anderem isolierte Baum- und Strauchgruppen sowie Hecken (Art. 2 Abs. 3 WaG). Innerhalb des vom Bundesrat festgelegten Rahmens können die Kantone bestimmen, ab welcher Breite, welcher Fläche und welchem Alter eine einwachsende Fläche sowie ab welcher Breite und welcher Fläche eine andere Bestockung als Wald gilt (Art. 2 Abs. 4 Satz 1 WaG). Diesen Rahmen legte der Bundesrat in Art. 1 Abs. 1 der Verordnung vom 30. November 1992 über den Wald (WaV) fest. Erfüllt die Bestockung in besonderem Masse Wohlfahrts- oder Schutzfunktionen, so sind die kantonalen Kriterien nicht massgebend (Art. 2 Abs. 4 Satz 2 WaG). Gemäss Art. 3 des Einführungsgesetzes zum Bundesgesetz über den Wald vom 7. Mai 1995 (EG WaG) gilt eine mit Waldbäumen oder -sträuchern bestockte Fläche als Wald, wenn sie mit Einschluss eines zweckmässigen Waldsaumes mindestens eine Ausdehnung von 800 m2 (lit. a) und eine Breite von zwölf Metern aufweist (lit. b) und wenn die Bestockung einwachsender Flächen mindestens 20 Jahre alt ist (lit. c). Diesen quantitativen Kriterien wie Fläche, Breite, Länge und Alter kommt für den in erster Linie qualitativen Waldbegriff nur eine Hilfsfunktion zu, weshalb diese nicht schematisch, ohne Würdigung der Qualität einer Bestockung, gehandhabt werden dürfen. Sind die quantitativen Kriterien erfüllt, ist die Waldqualität grundsätzlich zu bejahen. Demgegenüber ist der Umkehrschluss nicht zulässig, da auch kleinere Bestockungen unter Umständen den qualitativen Waldbegriff erfüllen können (vgl. zum Ganzen BGE 137 II 182 E. 3.7.2.1; BGer-Urteil 1C_114/2019 vom 19. Juli 2019 E. 2, mit Hinweisen).</w:t>
      </w:r>
    </w:p>
    <w:p>
      <w:r>
        <w:t>6.1.2Die streitbetroffene Parzelle liegt wie bereits dargelegt in der Landwirtschaftszone, was von den Parteien nicht bestritten wird. Da die bundesrechtlichen Kriterien des Waldbegriffs den kantonalen und kommunalen Nutzungsordnungen jedoch vorgehen, bedeutet dies nicht, dass die Liegenschaft als Landwirtschaftsland nicht auch Waldareal bilden kann. So hat die Vorinstanz mit Verweis auf die im Recht liegenden Akten und insbesondere die Fotografien sowie Luftbilder nachvollziehbar dargelegt, weshalb sich die Parz.-Nr. 01 zumindest teilweise im Wald befindet. Dabei fällt ins Gewicht, dass das darauf gelegene Materiallager von mehreren Seiten von Bäumen und Sträuchern eingewachsen ist und die angrenzende []runse eine seitliche Bestockung aufweist, welche sich bis auf einen Unterbruch durch die X-nebenstrasse fast durgehend bis ins Tal erstreckt. Mit Blick darauf kann nicht mehr davon ausgegangen werden, dass es sich bei der Bestockung rund um das streitbetroffene Materiallager um eine isolierte Baum- und Strauchgruppe gemäss Art. 2 Abs. 3 WaG handelt und es erscheint überdies zumindest fraglich, ob die gesamte Bestockung entlang der []runse nicht auch die quantitativen Anforderungen gemäss Art. 3 EG WaG oder gar eine gewisse Schutzfunktion im Sinne von Art. 1 Abs. 2 WaG erfüllt, zumal die streitbetroffene Liegenschaft gemäss dem Nachweis Naturgefahren vom 26. August 2012 im blauen Gefahrengebiet liegt. Insgesamt steht immerhin fest, dass die streitbetroffene Parzelle zumindest teilweise als Wald zu qualifizieren ist, wovon die Beschwerdegegner gestützt auf die kantonale Fachstelle Wald richtigerweise ausgingen.</w:t>
      </w:r>
    </w:p>
    <w:p>
      <w:r>
        <w:rPr>
          <w:b/>
        </w:rPr>
        <w:t>E. 6.2</w:t>
      </w:r>
    </w:p>
    <w:p>
      <w:r>
        <w:t>6.2.1Entgegen der Ansicht des Beschwerdeführers bedarf die von ihm anbegehrte Umnutzung des Materiallagers auf der Parz.-Nr. 01 einer Rodungsbewilligung im Sinne von Art. 5 Abs. 2 WaG. Als Rodung gilt dabei die dauernde oder vorübergehende Zweckentfremdung von Waldboden (Art. 4 WaG), womit nicht ausschlagegebend ist, ob Bäume tatsächlich gefällt werden oder nicht. Vielmehr ist relevant, wie sich ein Vorhaben auf den Waldboden auswirkt, wobei gemäss Art. 4 WaVbei forstlichen Bauten und Anlagen sowie nichtforstlichen Kleinbauten und Kleinanlagen keine Bewilligung gefordert wird(vgl. Nina Dajcar, in Alain Griffel et al. [Hrsg.],Öffentliches Baurecht, Zürich/Basel/ Genf 2016, N. 4.180).</w:t>
      </w:r>
    </w:p>
    <w:p>
      <w:r>
        <w:t>6.2.2Vorliegend ist nicht ersichtlich, dass es sich beim streitbetroffenen Materiallager um eine dem Forstbetrieb dienende Baute oder Anlage handelt. Dies legt der Beschwerdeführer denn auch nicht substantiiert dar. So weist er beispielsweise nicht auf eine Bewirtschaftung des angrenzenden Waldes hin. Sodann liegt aufgrund der Grösse der Baute keine nichtforstliche Kleinbaute oder Kleinanlage vor. Ferner ist mangels anderslautenden Angaben nicht davon auszugehen, dass der Schweizerischen Eidgenossenschaft vor dem Bau des Materiallagers eine Rodungsbewilligung erteilt wurde, zumal der Bau vor Erlass der massgebenden Bundesgesetzgebung erfolgte. Demgemäss ist nicht zu beanstanden, dass die kantonale Baubewilligungsbehörde die Umnutzung von der Erteilung einer Rodungsbewilligung abhängig machte.</w:t>
      </w:r>
    </w:p>
    <w:p>
      <w:r>
        <w:rPr>
          <w:b/>
        </w:rPr>
        <w:t>E. 6.3</w:t>
      </w:r>
    </w:p>
    <w:p>
      <w:r>
        <w:t>6.3.1Nach Art. 5 Abs. 2 WaG darf eine Rodungsbewilligung erteilt werden, wenn der Gesuchsteller nachweist, dass für die Rodung wichtige Gründe bestehen, die das Interesse an der Walderhaltung überwiegen und zudem folgende Voraussetzungen erfüllt sind: das Werk, für das gerodet werden soll, muss auf den vorgesehenen Standort angewiesen sein (lit. a); das Werk muss die Voraussetzungen der Raumplanung sachlich erfüllen (lit. b) und die Rodung darf zu keiner erheblichen Gefährdung der Umwelt führen (lit. c). Dem Natur- und Heimatschutz ist Rechnung zu tragen (Art. 5 Abs. 4 WaG).</w:t>
      </w:r>
    </w:p>
    <w:p>
      <w:r>
        <w:t>6.3.2Der Beschwerdeführer führt aus, er sei für die von ihm anbegehrte Umnutzung auf den Standort auf der streitbetroffenen Parzelle angewiesen. Er legt jedoch weder substantiiert dar noch ist ersichtlich, weshalb die geplante zivile Nutzung eine Zweckentfremdung des Waldbodens und damit eine Erteilung einer Ausnahmebewilligung im Sinne von Art. 5 Abs. 2 WaG rechtfertigen würde. So weist er weder eine betriebliche Notwendigkeit aus noch führt er aus, woher das zu lagernde Holz stammt oder wie er die Umgebung des streitbetroffenen Materiallagers bewirtschaften möchte. Überdies ist es lediglich als Schutzbehauptung zu qualifizieren, wenn er vor Verwaltungsgericht neu keine gewerbliche Nutzung der streitbetroffenen Parzelle mehr angibt. Hieraus vermag er nichts zu seinen Gunsten abzuleiten, da selbst bei einer privaten Lagerung von Holz und der Unterbringung von forstwirtschaftlichen Maschinen keine Angewiesenheit auf das streitbetroffene Materiallager bestehen würde. Im Übrigen ist darauf hinzuweisen, dass der Beschwerdeführer zwar eine Prüfung von alternativen Standorten angegeben hat. Da er allfällige alternative Standorte jedoch weder örtlich bezeichnet noch deren Nachteile gegenüber der streitbetroffenen Parzelle aufzeigt, erscheint zumindest fraglich, ob er eine solche Prüfung effektiv vorgenommen hat. Folglich kann dem Beschwerdeführer mangels Angewiesenheit auf den Standort ausserhalb der Bauzone keine Rodungsbewilligung im Sinne von Art. 5 Abs. 2 WaG erteilt werden.</w:t>
      </w:r>
    </w:p>
    <w:p>
      <w:r>
        <w:rPr>
          <w:b/>
        </w:rPr>
        <w:t>E. 7</w:t>
      </w:r>
    </w:p>
    <w:p>
      <w:r>
        <w:t>Zusammenfassend ergibt sich, dass für die vom Beschwerdeführer anbegehrte Umnutzung ausserhalb der Bauzone eine Baubewilligungspflicht besteht. Eine Ausnahmebewilligung für die zivile Umnutzung des bislang rein militärisch genutzten Materiallagers auf der Parz.-Nr. 01 ist dem Beschwerdeführer hingegen nicht zu erteilen. Einerseits hat er keinen Anspruch gestützt auf Art. 24 und 24a RPG. Andererseits benötigt er für die geplante Umnutzung eine Rodungsbewilligung im Sinne von Art. 5 Abs. 2 WaG, welche mangels Angewiesenheit auf den Standort ebenfalls nicht zu erteilen ist. Damit kann offenbleiben, ob eine Ausnahmebewilligung unter Auflagen oder Bedingungen gestützt auf Art. 24c RPG in Betracht fiele. Im Übrigen weist der Beschwerdegegner 4 richtigerweise darauf hin, dass der von der Beschwerdegegnerin 1 bewilligte Bau einer Garage auf dem Nachbargrundstück nicht mit dem vorliegend zu beurteilenden Bauvorhaben vergleichbar ist. Dies ergibt sich bereits aus dem Umstand, dass die Nachbarparzelle anders genutzt wird als die streitbetroffene Liegenschaft. Es ist deshalb nicht zu beanstanden, dass der Beschwerdegegner 4 diesbezüglich keine Ungleichbehandlung erblickt hat.</w:t>
      </w:r>
    </w:p>
    <w:p>
      <w:r>
        <w:t>Dies führt zur Abweisung der Beschwerde.</w:t>
      </w:r>
    </w:p>
    <w:p>
      <w:r>
        <w:t>III.</w:t>
      </w:r>
    </w:p>
    <w:p>
      <w:r>
        <w:t>Die pauschalen Gerichtskosten von Fr. 2'000.- sind ausgangsgemäss dem Beschwerdeführer aufzuerlegen und mit dem von ihm bereits geleisteten Kostenvorschuss in gleicher Höhe zu verrechnen (Art. 134 Abs. 1 lit. c VRG). Mangels Obsiegens und mangels anwaltlicher Vertretung steht ihm sodann keine Parteientschädigung zu. Soweit die Beschwerdegegnerin 2 eine solche beantragt, ist sie darauf hinzuweisen, dass dieVoraussetzungen für eine ausnahmsweise Zusprechung vorliegend nicht erfüllt sind (Art. 138 Abs. 4 VRG). Im Übrigen hat sich die Beschwerdegegnerin 1 im vorliegenden Verfahren nicht vernehmen lassen, weshalb auch ihr kein Anspruch auf eine Parteientschädigung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