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GL-1358 vom 20. Oktober 2020</w:t>
      </w:r>
    </w:p>
    <w:p>
      <w:r>
        <w:t>GL Gerichte, 2020-10-20, DE</w:t>
      </w:r>
    </w:p>
    <w:p>
      <w:r>
        <w:rPr>
          <w:b/>
        </w:rPr>
        <w:t xml:space="preserve">Quelle: </w:t>
      </w:r>
      <w:r>
        <w:t>https://mcp.opencaselaw.ch/entscheid/gl_gerichte_GL-1358</w:t>
      </w:r>
    </w:p>
    <w:p>
      <w:r>
        <w:t>FR: GL_GERICHTE GL-1358 du 20 octobre 2020</w:t>
      </w:r>
    </w:p>
    <w:p>
      <w:r>
        <w:t>IT: GL_GERICHTE GL-1358 del 20 ottobre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lit. b StPO i.V.m. Art. 406 Abs. 1 lit. c StPO). Dementspre­chend ist die Berufung der Staatsanwaltschaft mit Präsidialverfügung (Art. 31 Abs. 2 GOG/GL [GS III A/2]) als erledigt abzuschreiben.</w:t>
      </w:r>
    </w:p>
    <w:p>
      <w:r>
        <w:t>3.Ausgangsgemäss sind die Kosten des vorliegenden Berufungsverfahrens auf die Gerichtskasse zu nehmen. Dem Beschuldigten ist im Berufungsverfahren kein Auf­wand erwachsen, sodass ihm keine Entschädigung zuzusprechen ist.</w:t>
      </w:r>
    </w:p>
    <w:p>
      <w:r>
        <w:t>____________________</w:t>
      </w:r>
    </w:p>
    <w:p>
      <w:r>
        <w:t>Die Präsidentin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