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GL-1346 vom 31. März 2020</w:t>
      </w:r>
    </w:p>
    <w:p>
      <w:r>
        <w:t>GL Gerichte, 2020-03-31, DE</w:t>
      </w:r>
    </w:p>
    <w:p>
      <w:r>
        <w:rPr>
          <w:b/>
        </w:rPr>
        <w:t xml:space="preserve">Quelle: </w:t>
      </w:r>
      <w:r>
        <w:t>https://mcp.opencaselaw.ch/entscheid/gl_gerichte_GL-1346</w:t>
      </w:r>
    </w:p>
    <w:p>
      <w:r>
        <w:t>FR: GL_GERICHTE GL-1346 du 31 mars 2020</w:t>
      </w:r>
    </w:p>
    <w:p>
      <w:r>
        <w:t>IT: GL_GERICHTE GL-1346 del 31 marzo 2020</w:t>
      </w:r>
    </w:p>
    <w:p>
      <w:pPr>
        <w:pStyle w:val="Heading2"/>
      </w:pPr>
      <w:r>
        <w:t>Erwägungen</w:t>
      </w:r>
    </w:p>
    <w:p>
      <w:r>
        <w:rPr>
          <w:b/>
        </w:rPr>
        <w:t>E. 1</w:t>
      </w:r>
    </w:p>
    <w:p>
      <w:r>
        <w:t>Am 22. Februar 2020 erhob A.______ (nachfolgend «Gesuchsteller») bei der Staatsanwaltschaft des Kantons Glarus schriftlich Strafanzeige gegen F.______ wegen wiederholter Tät­lichkeiten, wiederholten Diebstahls, Verleumdung, wiederholten Hausfriedensbruchs etc. (act. 3/1).</w:t>
      </w:r>
    </w:p>
    <w:p>
      <w:r>
        <w:t>Mit Schreiben vom 24. Februar 2020 an den Gesuchsteller bestätige Staatsan­wältin B.______ den Eingang der Strafanzeige und stellte deren Behandlung unter der Verfahrensnummer SA.2020.00172 in Aussicht (act. 3/2).</w:t>
      </w:r>
    </w:p>
    <w:p>
      <w:r>
        <w:rPr>
          <w:b/>
        </w:rPr>
        <w:t>E. 2</w:t>
      </w:r>
    </w:p>
    <w:p>
      <w:r>
        <w:t>2.1.Mit Eingabe vom 13./16. März 2020 gelangte der Gesuchsteller an die Staatsanwaltschaft und verlangte darin (unter anderem) den Ausstand von Staats­anwältin B.______ (act. 1, S. 2 oben und S. 3 Mitte).</w:t>
      </w:r>
    </w:p>
    <w:p>
      <w:r>
        <w:t>2.2Mit Schreiben vom 18. März 2020 überwies Staatsanwältin B.______ das Ausstandsgesuch zur Behandlung an das Obergericht und beantragt dabei dessen Abweisung, soweit überhaupt darauf einzutreten sei (act. 2).</w:t>
      </w:r>
    </w:p>
    <w:p>
      <w:r>
        <w:rPr>
          <w:b/>
        </w:rPr>
        <w:t>E. 3</w:t>
      </w:r>
    </w:p>
    <w:p>
      <w:r>
        <w:t>3.1Will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w:t>
      </w:r>
    </w:p>
    <w:p>
      <w:r>
        <w:t>Gemäss dem klaren Gesetzeswortlaut hat die gesuchstellende Partei ihr Aus­standsbegehren ungesäumt («ohne Verzug») vorzubringen und ist daher nach gefes­tigter Rechtsprechung der Ausstand in den nächsten Tagen nach Kenntnisnahme zu verlangen; andernfalls verwirkt der Anspruch. Ein Gesuch, das sechs bis sieben Tage nach Kenntnis des Ausstandsgrunds eingereicht wird, gilt als rechtzeitig. Unzulässig ist demgegenüber ein Zuwarten während zwei Wochen (zum Ganzen: BGer 1B_18/2020 Urteil vom 3. März 2020, E. 3.1. mit Hinweisen).</w:t>
      </w:r>
    </w:p>
    <w:p>
      <w:r>
        <w:t>3.2Der Gesuchsteller wusste aufgrund des Schreibens der Staatsanwaltschaft vom 24. Februar 2020, dass Staatsanwältin B.______ für die Behandlung seiner Strafanzeige zuständig ist; die briefliche Mitteilung ist dem Gesuchsteller am Dienstag, 25. Februar 2020, zugegangen (act. 3/2, S. 2).</w:t>
      </w:r>
    </w:p>
    <w:p>
      <w:r>
        <w:t>Erst am Dienstag, 17. März 2020  und somit ganze drei Wochen später  reichte der Gesuchsteller auf der Kanzlei der Staatsanwaltschaft das auf den 13./16. März 2020 datierte Ausstandsbegehren ein (act. 1), wobei der Gesuchsteller sich zur Begründung seines Begehrens auf eine Begebenheit beruft, die einige Jahre zu­rückliegt (act. 1, S. 2 oben).</w:t>
      </w:r>
    </w:p>
    <w:p>
      <w:r>
        <w:t>Im Lichte der zuvor aufgezeigten Rechtsprechung ist das Ausstandsgesuch somit eindeutig verspätet, weshalb darauf nicht einzutreten ist.</w:t>
      </w:r>
    </w:p>
    <w:p>
      <w:r>
        <w:rPr>
          <w:b/>
        </w:rPr>
        <w:t>E. 4</w:t>
      </w:r>
    </w:p>
    <w:p>
      <w:r>
        <w:t>Aber selbst wenn auf das Ausstandsgesuch einzutreten wäre, müsste dieses aus nachfolgenden Überlegungen ohne Weiteres abgewiesen werden:</w:t>
      </w:r>
    </w:p>
    <w:p>
      <w:r>
        <w:t>4.1Der Gesuchsteller macht geltend, die fallzuständige Staatsanwältin B.______ habe in ihrer früheren Tätigkeit als Rechtsanwältin einmal in einer mietrechtlichen Auseinandersetzung eine Gegenpartei vertreten (act. 1, S. 2 oben). Implizit beruft sich der Gesuchsteller damit auf den Ausstandsgrund gemäss Art. 56 lit. f StPO (Voreingenommenheit).</w:t>
      </w:r>
    </w:p>
    <w:p>
      <w:r>
        <w:t>4.2Gemäss Art. 56 lit. f StPO tritt eine in einer Strafbehörde tätige Person in den Ausstand, wenn sie aus anderen Gründen, insbesondere wegen Freundschaft oder Feindschaft mit einer Partei oder deren Rechtsbeistand, befangen sein könnte. Es handelt sich hierbei um eine Generalklausel, welche alle Ausstands­gründe erfasst, die in Art. 56 lit. a-e StPO nicht ausdrücklich vorgesehen sind. Danach hat jede Per­son Anspruch darauf, dass ihre Sache von einer unparteiischen, unvoreingenom­menen und unbefangenen Behörde ohne Einwirken sachfremder Umstände ent­schieden wird. Die Rechtsprechung nimmt Voreingenommenheit und Befangenheit an, wenn Umstände vorliegen, die bei objektiver Betrachtung geeignet sind, Miss­trauen in die Unparteilichkeit der Behörde zu erwecken. Dabei ist jedoch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(siehe zum Ganzen: BGE 141 IV 178, E. 3.2.1 und E. 3.2.2).</w:t>
      </w:r>
    </w:p>
    <w:p>
      <w:r>
        <w:t>4.3Allein die hier unbestrittene Tatsache (siehe act. 2, S. 2), dass die fallzuständige Staatsanwältin in ihrem vormaligen Beruf als Rechtsanwältin vor Jahren einmal in einer Mietsache eine Gegenpartei des Gesuchstellers anwaltlich vertreten hatte, begründet unter objektiven Gesichtspunkten keinerlei Anschein auf Befangenheit bzw. Voreingenommenheit. Gegenstand der vorliegenden Strafuntersuchung sind die vom Gesuchsteller zur Anzeige gebrachten Vorwürfe gegenüber F.______, nämlich (act. 3/1, S. 1): «wiederholte Tätlichkeit, wiederholter Diebstahl, Verleum­dung, wiederholter Hausfriedensbruch, Ehrverletzung, wiederholte Beschimpfung, Nötigungsversuch». Inwiefern die hier fallzuständige Staatsanwältin aufgrund eines vor Jahren als Anwältin geführten Mandats in einer mitrechtlichen Auseinanderset­zung nicht in der Lage sein soll, die fragliche Strafuntersuchung mit der erforderli­chen Sorgfalt, Objektivität und Unvoreingenommenheit durchzuführen, ist schlicht nicht ersichtlich.</w:t>
      </w:r>
    </w:p>
    <w:p>
      <w:r>
        <w:t>Es bleibt sodann auf Folgendes hinzuweisen: Aus der Eingabe des Gesuchstellers vom 13./16. März 2020 wird offensichtlich, dass der gegenüber der hier fallzustän­digen Staatsanwältin behauptete Vorwurf der Befangenheit letztlich nur vorgescho­ben ist. In erster Linie geht es dem Gesuchsteller nämlich darum, dass die Behand­lung seiner Strafanzeige gegen F.______ innerhalb der Staatsanwaltschaft an Staatsanwalt G.______ übertragen wird, da dieser offenbar bereits in an­derem Zusammenhang eine Strafanzeige des Gesuchstellers bearbeitet (act. 1, S. 2 Mitte und S. 3). Indes liegt es von vornherein nicht in der Entscheidung eines Straf­anzeigers, wer innerhalb der zuständigen Behörde eine Anzeige konkret zu behan­deln hat.</w:t>
      </w:r>
    </w:p>
    <w:p>
      <w:r>
        <w:rPr>
          <w:b/>
        </w:rPr>
        <w:t>E. 5</w:t>
      </w:r>
    </w:p>
    <w:p>
      <w:r>
        <w:t>Diesen Erwägungen zufolge, ist das Ausstandsbegehren des Gesuchstellers gegen Staatsanwältin B.______ abzuweisen, soweit darauf einzutreten ist. Die Kosten für das vorliegende Verfahren sind auf CHF 400. festzulegen (analog Art. 8 Abs. 2 lit. b der Zivil- und Strafprozesskostenverordnung [GS III A/5]) und sind ausgangsgemäss dem Gesuchsteller zu überbinden (Art. 59 Abs. 4 StPO).</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