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GL-1013 vom 9. November 2018</w:t>
      </w:r>
    </w:p>
    <w:p>
      <w:r>
        <w:t>GL Gerichte, 2018-11-09, DE</w:t>
      </w:r>
    </w:p>
    <w:p>
      <w:r>
        <w:rPr>
          <w:b/>
        </w:rPr>
        <w:t xml:space="preserve">Quelle: </w:t>
      </w:r>
      <w:r>
        <w:t>https://mcp.opencaselaw.ch/entscheid/gl_gerichte_GL-1013</w:t>
      </w:r>
    </w:p>
    <w:p>
      <w:r>
        <w:t>FR: GL_GERICHTE GL-1013 du 9 novembre 2018</w:t>
      </w:r>
    </w:p>
    <w:p>
      <w:r>
        <w:t>IT: GL_GERICHTE GL-1013 del 9 novembre 2018</w:t>
      </w:r>
    </w:p>
    <w:p>
      <w:pPr>
        <w:pStyle w:val="Heading2"/>
      </w:pPr>
      <w:r>
        <w:t>Erwägungen</w:t>
      </w:r>
    </w:p>
    <w:p>
      <w:r>
        <w:rPr>
          <w:b/>
        </w:rPr>
        <w:t>E. 1</w:t>
      </w:r>
    </w:p>
    <w:p>
      <w:r>
        <w:t>Die Ziffern 1, 2, 3 und 4 des Urteils des Präsidenten des Kantonsgerichts Glarus vom 27. November 2017 seien aufzuheben.</w:t>
      </w:r>
    </w:p>
    <w:p>
      <w:r>
        <w:rPr>
          <w:b/>
        </w:rPr>
        <w:t>E. 2</w:t>
      </w:r>
    </w:p>
    <w:p>
      <w:r>
        <w:t>B.______ sei schuldig zu sprechen des ungenügenden Sicherns der Ladung im Sinne von Art. 93 Abs. 2 lit. a SVG i.V.m. Art. 29, Art. 30 Abs. 2 SVG und Art. 57 Abs. 1 VRV.</w:t>
      </w:r>
    </w:p>
    <w:p>
      <w:r>
        <w:rPr>
          <w:b/>
        </w:rPr>
        <w:t>E. 2.2</w:t>
      </w:r>
    </w:p>
    <w:p>
      <w:r>
        <w:t>Der Rechtsvertreter hat für seine Bemühungen im Berufungsverfahren eine Hono­rarnote über insgesamt CHF 4'026.50 eingereicht, wobei noch weitere Kosten von CHF 123.85 hinsichtlich der bevorstehenden Bearbeitung des vorliegenden oberge­richtlichen Entscheids in Aussicht gestellt werden (act. 44).</w:t>
      </w:r>
    </w:p>
    <w:p>
      <w:r>
        <w:t>Vorliegend von vornherein nicht zu entschädigen ist der Aufwand des Rechtsvertre­ters des Beschuldigten, den dieser in Hinsicht auf den von ihm zu Beginn des Beru­fungsverfahrens gestellten und einlässlich begründeten Nichteintretensantrag erbracht hat (act. 21). Mit diesem Antrag ist der Beschuldigte nicht durchge­drungen und insofern unterlegen (siehe dazu act. 27). In Bezug auf die Notwen­digkeit anwaltlichen Aufwands in einer Übertretungsstrafsache kann sodann auf das bereits zuvor Gesagte verwiesen werden (oben E. II. 4.2.4); am Bagatellcharakter der Streitangelegenheit hat sich nämlich allein durch die Berufung der Staatsan­walt­schaft grundsätzlich nichts geändert, auch wenn einzuräumen ist, dass die Staats­anwaltschaft mit der von ihr erhobenen Rüge der fehlerhaften Sachverhalts­abklä­rung durch die Vorinstanz eine gewisse Komplexität ins Verfahren getragen hat. Der Beschuldigte obsiegt insoweit, als der erstinstanzliche Freispruch bestätigt wird; er unterliegt dagegen insoweit, als die ihm erstinstanzlich zugesprochene Entschädi­gung doch wesentlich gekürzt wird. Vor diesem Hintergrund erscheint für das Beru­fungsverfahren eine reduzierte Parteientschädigung in der Höhe von CHF 800.‑ zugunsten des Beschuldigten als angemessen.</w:t>
      </w:r>
    </w:p>
    <w:p>
      <w:r>
        <w:t>____________________</w:t>
      </w:r>
    </w:p>
    <w:p>
      <w:r>
        <w:t>Das Gericht erkennt:</w:t>
      </w:r>
    </w:p>
    <w:p>
      <w:r>
        <w:rPr>
          <w:b/>
        </w:rPr>
        <w:t>E. 3</w:t>
      </w:r>
    </w:p>
    <w:p>
      <w:r>
        <w:t>B.______ sei mit einer Busse von CHF 250.‑ zu bestrafen. Bei schuldhafter Nichtbezahlung und wenn die Betreibung keinen Erfolg hat, sei die Busse in eine unbedingt vollziehbare Ersatzfreiheitsstrafe von drei Tagen umzuwandeln.</w:t>
      </w:r>
    </w:p>
    <w:p>
      <w:r>
        <w:rPr>
          <w:b/>
        </w:rPr>
        <w:t>E. 3.3</w:t>
      </w:r>
    </w:p>
    <w:p>
      <w:r>
        <w:t>3.3.1Die Vorinstanz hat sich im angefochtenen Entscheid nicht festgelegt, ob das angebrachte Abdecknetz eine ausreichende Sicherung bot für die drei Granitplatten, welche auf der Ladebrücke "frei" auflagen und nicht mit Zurrgurten befestigt waren. Wie es sich mit diesem Netz in Bezug auf die Sicherung der Ladung konkret verhalten hat, kann auch vor Obergericht offenbleiben. Aus dem angefochtenen Entscheid ergibt sich nämlich hinreichend klar, dass die Vorinstanz die Ladung schon allein deshalb für genügend gesichert erachtet hat, weil sich die drei überei­nander gelegten Granitplatten innerhalb einer mit Seitenwänden umschlossenen Ladebrücke befanden und die Platten aufgrund ihres Eigengewichts selbst bei einem leichten Unfall nicht in eine die Verkehrssicherheit gefährdende instabile Lage geraten wären.</w:t>
      </w:r>
    </w:p>
    <w:p>
      <w:r>
        <w:t>3.3.2Wie bereits eingangs kurz dargelegt (oben E. I. 1.) ist strittig, ob die drei je rund 80 kg schwere Granitplatten zureichend gesichert waren, als der Beschuldigte diese Platten mit dem Lieferwagen von Näfels nach Netstal transportierte.</w:t>
      </w:r>
    </w:p>
    <w:p>
      <w:r>
        <w:t>Die ca. 80 cm x 100 cm grossen Platten lagen, die unterste Platte stirnseitig einge­bettet in einen Sandhaufen, schräg übereinander (siehe die Fotos bei act. 2/1). Als Folge davon, dass die unterste Platte auf der einen kurzen Kante auf dem Sand­haufen und auf der anderen kurzen Kante auf der Ladefläche auflag, bestand zwar zwischen der Platte und der Ladefläche ein gewisser Hohlraum; wäre die Platte ganzflächig auf der Ladebrücke aufgelegen, hätte dies die stabilitätsfördernde Reibungswirkung zwischen Ladung und Ladefläche zweifelsohne verbessert. Indes ist aber auch festzuhalten, dass die Platten die knapp 40 cm hohen Seitenwände der Ladebrücke (siehe dazu die Foto bei act. 2/10) nicht überragten; bis zur Ober­kannte der Ladewände waren es soweit erkennbar noch mindestens 10 cm. Im Falle eines brüsken Brems- oder Ausweichmanövers oder gar eines Aufpralls bei einer (leichten) Kollision hätten sich die Platten lediglich innerhalb der Ladebrücke ver­schoben, ohne dass dies aber für die Fahrzeuginsas­sen selber oder andere Verkehrsteilnehmer eine Gefahr bewirkt hätte. Aufgrund des doch erheblichen Eigengewichts der Platten ist schliesslich auch nicht vorstellbar, dass die Platten sich in einer wie eben beschriebenen besonderen Fahrsituation hätten aufrichten können oder gar von der Ladebrücke geschleudert worden wären, zumal der Trans­port (bloss) auf einer Hauptstrasse und nicht etwa auf einer Auto­bahn mit ungleich höheren Geschwindigkeiten ausgeführt wurde.</w:t>
      </w:r>
    </w:p>
    <w:p>
      <w:r>
        <w:t>3.3.3Bei dieser Sachlage ist es nicht willkürlich, wenn die Vorinstanz auf Abklä­rungen zur Sicherungswirkung des Abdecknetzes verzichtet hat. Die Vorinstanz hat somit im Ergebnis willkürfrei darauf geschlossen, dass die fragliche Ladung zurei­chend gesichert war und hat daher den Beschuldigten vom gegenteiligen Vorhalt zu Recht freigesprochen. Somit ist die Berufung der Staatsanwaltschaft in diesem Punkt abzuweisen.</w:t>
      </w:r>
    </w:p>
    <w:p>
      <w:r>
        <w:rPr>
          <w:b/>
        </w:rPr>
        <w:t>E. 4</w:t>
      </w:r>
    </w:p>
    <w:p>
      <w:r>
        <w:t>Die Staatsanwaltschaft hat in ihrer Berufung (act. 18) auch die Kostenregelung ge­mäss Dispositiv-Ziff. 2-4 des vorinstanzlichen Entscheids angefochten. Die Staats­anwaltschaft ist zur Anfechtung eines erstinstanzlichen Strafurteils auch im Kosten­punkt legitimiert (Art. 381 Abs. 1 StPO;Schmid/Jositsch, a.a.O., N 2 zu Art. 381 StPO).</w:t>
      </w:r>
    </w:p>
    <w:p>
      <w:r>
        <w:t>4.1Nachdem der Beschuldigte von Schuld und Strafe freizusprechen ist, hat die Vorinstanz die Gerichts- und Untersuchungskosten in korrekter Anwendung von Art. 426 Abs. 2 StPO auf die Staatskasse genommen. Insofern ist daher die Beru­fung unbegründet.</w:t>
      </w:r>
    </w:p>
    <w:p>
      <w:r>
        <w:rPr>
          <w:b/>
        </w:rPr>
        <w:t>E. 4.2</w:t>
      </w:r>
    </w:p>
    <w:p>
      <w:r>
        <w:t>4.2.1Die Vorinstanz hat gestützt auf Art. 429 Abs. 1 lit. a StPO dem freigesproche­nen Beschuldigten aus der Gerichtskasse eine Entschädigung in Höhe von CHF 3'000.‑ zuerkannt (act. 14 S. 8 Dispositiv-Ziff. 4). Der Beschuldigte selber hatte von seinem Rechtsvertreter ausgewiesene Anwaltskosten in Höhe von CHF 3'790.05 als Entschädigung geltend gemacht (act. 9 S. 7 f. und act. 11). Die Vorinstanz hat sich im angefochtenen Entscheid nicht zur konkreten Bemessung der Entschä­digung geäussert, sondern bloss festgehalten, dem Beschuldigten stehe eine "angemessene Parteientschädigung" zu (act. 14 S. 7 E. IV.).</w:t>
      </w:r>
    </w:p>
    <w:p>
      <w:r>
        <w:t>4.2.2Die Staatsanwaltschaft begründet in ihrer Berufung (act. 18) ihren Einwand gegen die vorinstanzliche Entschädigungsregelung nicht näher. Indes schadet dies der Berufungsklägerin nicht. Das Berufungsgericht ist nämlich nicht an die Begrün­dung des Rechtsmittels durch die Parteien gebunden (Art. 391 Abs. 1 StPO). Es gilt insoweit in tatsächlicher Hinsicht der Grundsatz der materiellen Wahrheit, in recht­licher Hinsicht der Grundsatz iura novit curia (Lieber,in: Donatsch/Hansjakob/Lieber [Hrsg.], bereits oben zitiert, N 1 zu Art. 391 StPO). Dies gilt ebenso in einem Über­tretungsstrafverfahren, bei dem die Kognition der Berufungsinstanz eingeschränkt ist (Art. 398 Abs. 4 StPO); es besteht deswegen nicht etwa eine qualifizierte Rüge­pflicht (Hug/Scheidegger,in: Donatsch/Hansjakob/Lieber [Hrsg.], bereits oben zitiert, N 24 zu Art. 398 StPO).</w:t>
      </w:r>
    </w:p>
    <w:p>
      <w:r>
        <w:t>4.2.3Wird die beschuldigte Person ganz oder teilweise freigesprochen oder wird das Verfahren gegen sie eingestellt, so hat sie gemäss Art. 429 Abs. 1 lit. a StPO Anspruch auf Entschädigung ihrer Aufwendungen für die angemessene Ausübung ihrer Verfahrensrechte; konkret gemeint sind dabei primär die Kosten für die frei gewählte Verteidigung (Schmid/Jositsch, a.a.O., N 7 zu Art. 429 StPO). Der An­spruch auf eine Entschädigung setzt dabei aber kumulativ voraus  auch wenn dies so im Gesetzeswortlaut nicht direkt zum Ausdruck kommt , dass erstens der Bei­zug eines Anwalts gerechtfertigt ist und, zweitens, der von diesem betriebene Auf­wand ange­messen war. Es ist somit nicht auszuschliessen, dass im Einzelfall schon der Beizug eines Anwalts an sich als nicht angemessene Ausübung der Verfah­rensrechte bezeichnet werden könnte (BGE 138 IV 197 E. 2.3.4 S. 203).</w:t>
      </w:r>
    </w:p>
    <w:p>
      <w:r>
        <w:t>4.2.4Bei der dem Beschuldigten vorgeworfenen Übertretung des Strassenverkehrs­gesetzes handelte es sich um eine ausgesprochene Bagatell­angelegenheit. Es lag mit anderen Worten kein gravierender Tatvorwurf vor. So gesehen stand für den Beschuldigten anders als etwa bei einem angelasteten Verbrechen oder Vergehen nicht "einiges auf dem Spiel", wenngleich aber immerhin anzuerkennen ist, dass der inkriminierte Vorhalt unmittelbar die Lohnarbeit des Beschuldigten und damit sozu­sagen dessen berufliche Integrität betraf. Der Sachverhalt schliesslich erwies sich weder in tatsächlicher noch in rechtlicher Hinsicht als komplex. Es sind sodann aus den Akten auch keine Anhaltspunkte ersichtlich, dass der Beschuldigte aufgrund persönlicher Verhältnisse von vornherein nicht in der Lage gewesen wäre, sich sel­ber zu verteidigen (siehe dazu auch act. 13 S. 3 Frage 7). Allerdings ist in der Litera­tur und Rechtsprechung als Stossrichtung erkennbar, dass zusehends auch in Bagatellfällen der Beizug eines Rechtsvertreters als gerechtfertigt erachtet wird (BGE 138 IV 197 E. 2.3.2 und 2.3.5 S. 201 ff.). Insofern ist vorliegend der Beizug eines Rechtsvertre­ters an sich nicht zu beanstanden, zumal eingedenk der zuvor angesprochenen hier speziellen Betroffenheit des Beschuldigten als Arbeitnehmer.</w:t>
      </w:r>
    </w:p>
    <w:p>
      <w:r>
        <w:t>Auch wenn der Beizug eines Rechtvertreters vertretbar sein mag, ist nicht jeder anwaltliche Aufwand zu entschädigen, der im Strafverfahren entstanden ist, sondern nur die Aufwendungen für eine angemessene Ausübung der Verfahrensrechte (Art. 429 lit. a StPO). Die Angemessenheit des Verteidigungs­aufwands beurteilt sich anhand der zur Anwendung gelangenden Verfahrensart sowie anhand der zur Diskussion stehenden Interessen, welche sich aus dem kon­kreten Tatvorwurf, der tatsächlichen oder rechtlichen Komplexität des Falles sowie der drohenden Sanktion und Kostenfolge ergeben.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Für aus juristischer Sicht einfa­che Fälle folgt daraus, dass sich der anwaltliche Aufwand auf ein Minimum zu beschränken hat, allenfalls sogar auf eine einfache Konsultation (BGer, Urteil vom 7. Juli 2014, 6B_74/2014, E. 1.4.2.; BGE 138 IV 197 E. 2.3.5 S. 203 f.). Die vorlie­gende Übertetungsstrafsache ist aufgrund des konkreten Tatvorwurfes sowie der von der Staatsanwaltschaft bean­tragten Strafe als Bagatellfall zu qualifizieren und es stellten sich im Stadium der Untersuchung und des vorinstanzlichen Gerichtsver­fahrens keinerlei juristisch schwierigen Fragen. Die hier selbst unter Berücksichti­gung der spezifischen Betroffenheit des Beschuldigten in seiner Stellung als Arbeit­nehmer noch immer als gering zu wertende Tragweite des konkreten Übertretungs­vor­wurfs hätte unter dem Aspekt von Art. 429 lit. a StPO eine Beschränkung des anwaltlichen Aufwands von Anfang an auf ein absolutes Minimum erfordert. Adä­quat wäre in einer ersten Phase nur eine kurze Konsultation gewesen, zumal der Beschuldigte seine Einsprache gegen den seinerzeitigen Strafbefehl der Staatsan­waltschaft (act. 2/3) nicht zwingend zu begründen hatte (Art. 354 Abs. 2 StPO; siehe dazu auch act. 2/5). Dass sodann der Beschul­digte zur mündlichen Verhandlung vor der Vorinstanz in Begleitung seines Rechts­vertreters erschien, ist vertretbar; die Verhandlung selber dauerte allerdings nur rund 30 Minuten (siehe act. 9 S. 1 und S. 9) und war hierzu angesichts der sowohl in tatsächlicher als auch in rechtlicher Hinsicht alles andere als komplexen Angelegenheit keine umfangrei­che Vorbe­reitung erforderlich.</w:t>
      </w:r>
    </w:p>
    <w:p>
      <w:r>
        <w:t>4.2.5Aus alldem ergibt sich, dass für die anwaltliche Vertretung des Beschuldigten im vorinstanzlichen Verfahren eine Entschädigung in der Höhe von CHF 1'000.‑ (inkl. MwSt. und Auslagen) angemessen ist. Insoweit die Vorinstanz im angefoch­tenen Entscheid eine weit darüber hinausgehende Entschädigung in der Höhe von CHF 3'000.‑ festgelegt hat, ist ihr eine fehlerhafte Anwendung von Art. 429 Abs. 1 StPO unterlaufen. Damit erweist sich die Berufung der Staatsanwaltschaft in diesem Punkt als begründet (Art. 398 Abs. 4 StPO) und ist insoweit gutzuheissen.</w:t>
      </w:r>
    </w:p>
    <w:p>
      <w:r>
        <w:t>III.</w:t>
      </w:r>
    </w:p>
    <w:p>
      <w:r>
        <w:t>1.</w:t>
      </w:r>
    </w:p>
    <w:p>
      <w:r>
        <w:t>Die Kosten des Rechtsmittelverfahrens tragen die Parteien nach Massgabe ihres Obsiegens oder Unterliegens (Art. 428 StPO). Vorliegend unterliegt die Staats­anwaltschaft mit ihrer Anfechtung des erstinstanzlich ergangenen Freispruchs, obsiegt andererseits aber insoweit, als die erstinstanzlich festgesetzte Partei­entschädigung wesentlich herabzusetzen ist. Insofern wären daher nicht die gesam­ten Gerichtskosten des Berufungsverfahrens auf die Staatskasse zu nehmen, son­dern wäre ein Teil davon dem Beschuldigten aufzuerlegen. Davon wird jedoch umständehalber abgesehen und werden die gesamten Kosten der Staatskasse überbunden.</w:t>
      </w:r>
    </w:p>
    <w:p>
      <w:r>
        <w:t>2.</w:t>
      </w:r>
    </w:p>
    <w:p>
      <w:r>
        <w:t>2.1Inwieweit im Berufungsverfahren ein Anspruch des Beschuldigten auf eine Par­teientschädigung besteht, beurteilt sich ebenfalls nach Massgabe des Obsiegens bzw. Unterliegens (Art. 436 Abs. 1 und 2 StPO; siehe dazu:Schmid/Jositsch, a.a.O., N 1 zu Art. 436 StPO;Griesser,in: Donatsch/Hansjakob/Lieber [Hrsg.], bereits oben zitiert, N 3 zu Art. 436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