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P/9/2019 vom 3. September 2019</w:t>
      </w:r>
    </w:p>
    <w:p>
      <w:r>
        <w:t>GE Cour de justice, 2019-09-03, FR</w:t>
      </w:r>
    </w:p>
    <w:p>
      <w:r>
        <w:rPr>
          <w:b/>
        </w:rPr>
        <w:t xml:space="preserve">Quelle: </w:t>
      </w:r>
      <w:r>
        <w:t>https://mcp.opencaselaw.ch/entscheid/ge_gerichte_P_9_2019</w:t>
      </w:r>
    </w:p>
    <w:p>
      <w:r>
        <w:t>FR: GE_GERICHTE P/9/2019 du 3 septembre 2019</w:t>
      </w:r>
    </w:p>
    <w:p>
      <w:r>
        <w:t>IT: GE_GERICHTE P/9/2019 del 3 settembre 2019</w:t>
      </w:r>
    </w:p>
    <w:p>
      <w:pPr>
        <w:pStyle w:val="Heading2"/>
      </w:pPr>
      <w:r>
        <w:t>Regeste</w:t>
      </w:r>
    </w:p>
    <w:p>
      <w:r>
        <w:t>RUPTURE DE BAN;FIXATION DE LA PEINE | CP.291</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Chambre limite son examen aux violations décrites dans l'acte d'appel (art. 404 al. 1 CPP), sauf en cas de décisions illégales ou inéquitables (art. 404 al. 2 CPP).</w:t>
      </w:r>
    </w:p>
    <w:p>
      <w:r>
        <w:rPr>
          <w:b/>
        </w:rPr>
        <w:t>E. 2.1</w:t>
      </w:r>
    </w:p>
    <w:p>
      <w:r>
        <w:t>La rupture de ban est passible d'une peine privative de liberté de trois ans au plus ou d'une peine pécuniaire. 2.2.1.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L'efficacité de la sanction à prononcer est autant décisive pour la détermination de celle-ci que pour en fixer la durée (arrêt du Tribunal fédéral 6B_611/2014 du 9 mars 2015 consid. 4.2). Le juge dispose d'un large pouvoir d'appréciation dans la fixation de la peine (arrêt 6B_835/2018 du 8 novembre 2018 consid. 2.1). 2.2.2. 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3ème éd., Bâle 2013,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Il en va de même des antécédents étrangers (ATF 105 IV 225 consid. 2 p. 226).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Les antécédents judiciaires ne sauraient toutefois conduire à une augmentation massive de la peine, parce que cela reviendrait à condamner une deuxième fois pour des actes déjà jugés (ATF 120 IV 136 consid. 3b p. 145).</w:t>
      </w:r>
    </w:p>
    <w:p>
      <w:r>
        <w:rPr>
          <w:b/>
        </w:rPr>
        <w:t>E. 2.3</w:t>
      </w:r>
    </w:p>
    <w:p>
      <w:r>
        <w:t>Aux termes de l'art. 42 al. 1 CP, le juge suspend en règle générale l'exécution d'une peine pécuniaire ou d'une peine privative de liberté de deux ans au plus lorsqu'une peine ferme ne paraît pas nécessaire pour détourner l'auteur d'autres crimes ou délits.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p. 185 s. ; ATF 134 IV 1 consid. 4.2.2 p. 5).</w:t>
      </w:r>
    </w:p>
    <w:p>
      <w:r>
        <w:rPr>
          <w:b/>
        </w:rPr>
        <w:t>E. 2.4</w:t>
      </w:r>
    </w:p>
    <w:p>
      <w:r>
        <w:t>Selon l'art. 46 CP, si, durant le délai d'épreuve, le condamné commet un crime ou un délit et qu'il y a dès lors lieu de prévoir qu'il commettra de nouvelles infractions, le juge révoque le sursis ou le sursis partiel (alinéa 1, première phrase). S'il n'y a pas lieu de prévoir que le condamné commettra de nouvelles infractions, le juge renonce à ordonner la révocation (alinéa 2, première phrase).</w:t>
      </w:r>
    </w:p>
    <w:p>
      <w:r>
        <w:rPr>
          <w:b/>
        </w:rPr>
        <w:t>E. 5</w:t>
      </w:r>
    </w:p>
    <w:p>
      <w:r>
        <w:t>5.1. Selon l'art. 135 al. 1 CPP, le défenseur d'office est indemnisé conformément au tarif des avocats du canton du for du procès. L'art. 16 du règlement sur l'assistance juridique du 28 juillet 2010 (RAJ ; E 2 05.04) dispose que l'indemnité, en matière pénale, est calculée selon le tarif horaire de CHF 200.- pour les chefs d'étude (let. c). En cas d'assujettissement, l'équivalent de la TVA est versé en sus. Il est admis que l'activité consacrée aux conférences, audiences et autres actes de la procédure soit forfaitairement majorée de 20% jusqu'à 30 heures de travail (arrêt du Tribunal fédéral 6B_838/2015 du 25 juillet 2016 consid. 3.5.2 ; voir aussi les décisions de la Cour des plaintes du Tribunal pénal fédéral BB.2016.34 du 21 octobre 2016 consid. 4.1 et 4.2 et BB.2015.85 du 12 avril 2016 consid. 3.5.2 et 3.5.3).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100.- pour les chefs d'étude, dite rémunération étant allouée d'office par la juridiction d'appel pour les débats devant elle.</w:t>
      </w:r>
    </w:p>
    <w:p>
      <w:r>
        <w:rPr>
          <w:b/>
        </w:rPr>
        <w:t>E. 5.2</w:t>
      </w:r>
    </w:p>
    <w:p>
      <w:r>
        <w:t>En l'occurrence, l'état de frais produit par le conseil de l'intimé paraît adéquat et conforme aux dispositions et principes qui précèdent, de sorte qu'il sera admis sans en reprendre le détail. En conclusion, l'indemnité sera arrêtée à CHF 1'910.90 correspondant à 6h40 d'activité au tarif de CHF 200.-/heure (CHF 1'333.35) plus la majoration forfaitaire de 20% (CHF 266.65), la vacation à la Cour de justice pour l'audience d'appel (CHF 100.-), la TVA au taux de 7.7% (CHF 130.90), et les débours pour les frais d'interprète du 19 août 2019 (CHF 80.-).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