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P/9997/2019 vom 28. März 2022</w:t>
      </w:r>
    </w:p>
    <w:p>
      <w:r>
        <w:t>GE Cour de justice, 2022-03-28, FR</w:t>
      </w:r>
    </w:p>
    <w:p>
      <w:r>
        <w:rPr>
          <w:b/>
        </w:rPr>
        <w:t xml:space="preserve">Quelle: </w:t>
      </w:r>
      <w:r>
        <w:t>https://mcp.opencaselaw.ch/entscheid/ge_gerichte_P_9997_2019</w:t>
      </w:r>
    </w:p>
    <w:p>
      <w:r>
        <w:t>FR: GE_GERICHTE P/9997/2019 du 28 mars 2022</w:t>
      </w:r>
    </w:p>
    <w:p>
      <w:r>
        <w:t>IT: GE_GERICHTE P/9997/2019 del 28 marzo 2022</w:t>
      </w:r>
    </w:p>
    <w:p>
      <w:pPr>
        <w:pStyle w:val="Heading2"/>
      </w:pPr>
      <w:r>
        <w:t>Regeste</w:t>
      </w:r>
    </w:p>
    <w:p>
      <w:r>
        <w:t>ACTE D'ORDRE SEXUEL SUR UN INCAPABLE DE DISCERNEMENT;SOUPÇON;DÉCISION D'EXTENSION | CP.191; CPP.310; CPP.311.al2</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émane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Encore faut-il que le recours soit dirigé contre une ordonnance sujette à recours auprès de la Chambre de céans (art. 393 al. 1 let. a CPP).</w:t>
      </w:r>
    </w:p>
    <w:p>
      <w:r>
        <w:rPr>
          <w:b/>
        </w:rPr>
        <w:t>E. 1.2.1</w:t>
      </w:r>
    </w:p>
    <w:p>
      <w:r>
        <w:t>Conformément à l'art. 311 al. 2 CPP, le ministère public peut étendre l'instruction à d'autres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 conformément aux art. 309 CPP et 310 CPP (arrêt du Tribunal fédéral 6B_1276/2019 du 27 février 2020 consid. 3.1 et les références citées).</w:t>
      </w:r>
    </w:p>
    <w:p>
      <w:r>
        <w:rPr>
          <w:b/>
        </w:rPr>
        <w:t>E. 1.2.2</w:t>
      </w:r>
    </w:p>
    <w:p>
      <w:r>
        <w:t>Il s'ensuit que la décision par laquelle le Ministère public a refusé d'étendre l'instruction à E______ en qualité de prévenu (art. 311 al. 2 CPP a contrario ), s'apparente à une non-entrée en matière (cf. ACPR/290/2021 du 3 mai 2021) contre laquelle le recours est ouvert. Le recours est dès lors recevable.</w:t>
      </w:r>
    </w:p>
    <w:p>
      <w:r>
        <w:rPr>
          <w:b/>
        </w:rPr>
        <w:t>E. 2</w:t>
      </w:r>
    </w:p>
    <w:p>
      <w:r>
        <w:t>La recourante reproche au Ministère public d'avoir refusé de poursuivre E______. ![endif]&gt;![if&gt;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243).![endif]&gt;![if&gt;</w:t>
      </w:r>
    </w:p>
    <w:p>
      <w:r>
        <w:rPr>
          <w:b/>
        </w:rPr>
        <w:t>E. 2.2</w:t>
      </w:r>
    </w:p>
    <w:p>
      <w:r>
        <w:t>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"entre quatre yeux" pour lesquels il n'existe souvent aucune preuve objective (arrêt du Tribunal fédéral 6B_1164/2020 du 10 juin 2020,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![endif]&gt;![if&gt;</w:t>
      </w:r>
    </w:p>
    <w:p>
      <w:r>
        <w:rPr>
          <w:b/>
        </w:rPr>
        <w:t>E. 2.3</w:t>
      </w:r>
    </w:p>
    <w:p>
      <w:r>
        <w:t>L’art. 190 CP punit celui qui, notamment en usant de menace ou de violence, en exerçant sur sa victime des pressions d'ordre psychique ou en la mettant hors d'état de résister, aura contraint une personne de sexe féminin à subir l'acte sexuel.![endif]&gt;![if&gt;</w:t>
      </w:r>
    </w:p>
    <w:p>
      <w:r>
        <w:rPr>
          <w:b/>
        </w:rPr>
        <w:t>E. 2.4</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![endif]&gt;![if&gt; Le but de cette disposition est de protéger les personnes qui ne sont pas en état d'exprimer ou de manifester physiquement leur opposition à l'acte sexuel. À la différence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2.5.1. En l'espèce, en tant que le Ministère public reproche à la recourante de ne pas avoir déposé plainte pénale contre E______, ni requis que ce dernier soit poursuivi, ce reproche est infondé. Le 19 mars 2019, elle a dénoncé les faits – poursuivis d'office – tant contre C______ que contre E______ [qu'elle a désigné sous le nom, erroné, qu'elle avait alors recueilli]. Par la suite, non seulement s'est-elle constituée partie plaignante pour les faits dénoncés, mais elle a, le 22 janvier 2021, requis l'audition de E______, comme " co-prévenu ". Elle a donc, clairement, manifesté que les deux protagonistes des faits du 23 décembre 2018 revêtaient, à ses yeux, la qualité d'auteurs. Au demeurant, les faits étant poursuivis d'office, on ne voit pas ce qui empêchait la recourante de requérir l'extension de l'instruction contre un protagoniste avant la fin de l'instruction. 2.5.2. Le 23 décembre 2018, C______, E______ et la recourante ont passé ensemble la journée, au cours de laquelle les premiers nommés ont chacun entretenu avec cette dernière des actes d'ordre sexuel, puis des rapports sexuels complets dans l'appartement du premier, alors qu'elle déclare ne pas s'en souvenir complètement ni, surtout, y avoir consenti. Si la recourante allègue n'avoir que des "flashs" du déroulement de la journée , raison pour laquelle elle pensait avoir été droguée – la quantité d'alcool consommée n'ayant selon elle pu lui causer une telle amnésie –, elle a été constante dans ses déclarations selon lesquelles les actes sexuels et les relations sexuelles complètes avec les prévenus n'étaient pas consentis. Qu'elle ait déclaré se sentir plus à l'aise avec E______ et que l'idée de l'embrasser lui fut moins répugnante que celle d'embrasser C______ n'établit nullement son consentement à des actes d'ordre sexuel ni à des relations sexuelles avec le premier. On ne saurait, pour cette raison, dénier toute crédibilité à ses déclarations. D'ailleurs, le Ministère public paraît admettre la fiabilité et la constance des déclarations de la recourante, puisqu'il envisage de renvoyer C______ en jugement. Les déclarations de E______ n'ont, elles, pas été constantes, ni ne concordent avec celles de C______, étant précisé, sur ce dernier point, que les deux hommes semblent pourtant, juste après les faits, avoir tenté d'établir une version commune. E______ s'est contredit, notamment, en affirmant dans un premier temps, avoir pris l'initiative de conduire A______ dans la chambre de C______, pour ensuite déclarer qu'elle lui avait pris la main pour le conduire dans cette pièce, et finalement ne plus se souvenir qui en avait pris l'initiative. De même, il a mentionné, dans son courriel, que A______ lui aurait, dans le salon, prodigué une fellation pendant qu'elle caressait C______, événement qu'il a ensuite contesté, puis oublié, soutenant, parallèlement, que la recourante avait clairement refusé les avances du précité dans la chambre. Il aurait également, selon la plainte de la recourante, prétendu avoir été violé par C______, pour recueillir, semble-t-il, ses souvenirs à elle. On ne saurait dès lors retenir, contrairement au Ministère public, que E______ aurait, par trois fois, tenu un récit constant des faits dénoncés. En outre, il ressort des premières explications de A______, à la police, que lorsqu'ils étaient tous les trois au G______, où elle avait bu une bière, elle s'était rendue aux toilettes, puis ne se souvenait de rien ; dans son souvenir suivant, elle se trouvait dans les vestiaires des H______, avec les cheveux mouillés. Or, C______ explique que A______ s'était rendue aux toilettes – tout en situant l'événement dans un autre bar des K______ – avec E______. Quant à ce dernier, il explique que, dans l'un des bars, A______ l'avait rejoint dans les toilettes pour hommes, où ils s'étaient embrassés et enlacés, précisant que C______ les avait interrompus en frappant à la porte. Il s'ensuit que, si l'on considère l'épisode des toilettes comme étant le moment à partir duquel A______ n'était plus dans son état normal, E______ pourrait ne pas être étranger à cette altération de sa conscience, ou, à tout le moins, en avoir profité. À cet égard, on ne peut en l'état exclure, à ce stade, que les allégations de E______ et C______ selon lesquelles A______ se serait, dans plusieurs bars, rendue aux toilettes avec d'autres hommes – faits non confirmés par les témoins entendus – pourraient en réalité servir leur version, commune, présentant l'intéressée comme " avenante ". Bien que le taux d'alcoolémie de la recourante le jour des faits ne soit pas connu, il paraît établi qu'elle a consommé de l'alcool tout au long de la journée et a manifesté des signes d'ébriété. E______ a d'ailleurs déclaré que juste avant leur rapport sexuel, chez C______, ils étaient alcoolisés de la "même façon" , et que lui-même était une "loque" , dans un état second. On ne peut ainsi exclure, à ce stade, qu'il ait entretenu un rapport sexuel avec la recourante, alors qu'elle n'était pas, en raison de son état, en mesure de s'y opposer, voire qu'il ait exploité cette faiblesse. Le fait que E______ déclare avoir lui-même été dans un état d'alcoolisation avancé au point de devoir aller vomir – ce dont C______ ne se souvient pas –, ne suffit pas à exclure, à ce stade, une prévention suffisante d'acte sexuel commis sur une personne incapable de résistance, puisque, contrairement à la recourante, E______ a conservé un souvenir des faits et admet avoir été en mesure d'entretenir un acte sexuel, pour quelques minutes, avec elle. Au vu de ce qui précède, il existe des soupçons suffisants également à l'égard de E______ de la commission des faits dénoncés par la recourante. Partant, l'instruction devra être étendue au précité pour infraction à l'art. 191 CP. La cause sera donc renvoyée au Ministère public pour qu'il notifie les charges au précité, complète éventuellement l'instruction des faits, puis renvoie les deux prévenus en jugement.</w:t>
      </w:r>
    </w:p>
    <w:p>
      <w:r>
        <w:rPr>
          <w:b/>
        </w:rPr>
        <w:t>E. 3</w:t>
      </w:r>
    </w:p>
    <w:p>
      <w:r>
        <w:t>Fondé, le recours doit être admis; partant, la décision querellée sera annulée et la procédure renvoyée au Ministère public pour qu'il agisse conformément au considérant précité. ![endif]&gt;![if&gt;</w:t>
      </w:r>
    </w:p>
    <w:p>
      <w:r>
        <w:rPr>
          <w:b/>
        </w:rPr>
        <w:t>E. 4</w:t>
      </w:r>
    </w:p>
    <w:p>
      <w:r>
        <w:t>La recourante obtient gain de cause de sorte que les frais afférents au recours seront laissés à la charge de l'État (art. 428 al. 1 et 4 CPP). ![endif]&gt;![if&gt;</w:t>
      </w:r>
    </w:p>
    <w:p>
      <w:r>
        <w:rPr>
          <w:b/>
        </w:rPr>
        <w:t>E. 5</w:t>
      </w:r>
    </w:p>
    <w:p>
      <w:r>
        <w:t>La recourante étant au bénéfice d'une défense d'office, il n'y a pas lieu d'indemniser, à ce stade, son défenseur d'office (art. 138 cum 135 al. 2 CPP).![endif]&gt;![if&gt;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