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P/9980/2021 vom 13. Januar 2022</w:t>
      </w:r>
    </w:p>
    <w:p>
      <w:r>
        <w:t>GE Cour de justice, 2022-01-13, FR</w:t>
      </w:r>
    </w:p>
    <w:p>
      <w:r>
        <w:rPr>
          <w:b/>
        </w:rPr>
        <w:t xml:space="preserve">Quelle: </w:t>
      </w:r>
      <w:r>
        <w:t>https://mcp.opencaselaw.ch/entscheid/ge_gerichte_P_9980_2021</w:t>
      </w:r>
    </w:p>
    <w:p>
      <w:r>
        <w:t>FR: GE_GERICHTE P/9980/2021 du 13 janvier 2022</w:t>
      </w:r>
    </w:p>
    <w:p>
      <w:r>
        <w:t>IT: GE_GERICHTE P/9980/2021 del 13 gennaio 2022</w:t>
      </w:r>
    </w:p>
    <w:p>
      <w:pPr>
        <w:pStyle w:val="Heading2"/>
      </w:pPr>
      <w:r>
        <w:t>Regeste</w:t>
      </w:r>
    </w:p>
    <w:p>
      <w:r>
        <w:t>CP.47; CP.46.al2; CP.66abis</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Selon l'art. 119 al. 1 LEI, quiconque enfreint une assignation à un lieu de résidence ou une interdiction de pénétrer dans une région déterminée (art. 74) est puni d'une peine privative de liberté de trois ans au plus ou d'une peine pécuniaire.</w:t>
      </w:r>
    </w:p>
    <w:p>
      <w:r>
        <w:rPr>
          <w:b/>
        </w:rPr>
        <w:t>E. 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w:t>
      </w:r>
    </w:p>
    <w:p>
      <w:r>
        <w:rPr>
          <w:b/>
        </w:rPr>
        <w:t>E. 2.3</w:t>
      </w:r>
    </w:p>
    <w:p>
      <w:r>
        <w:t>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rPr>
          <w:b/>
        </w:rPr>
        <w:t>E. 2.4</w:t>
      </w:r>
    </w:p>
    <w:p>
      <w:r>
        <w:t>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6B_105/2016 du 11 octobre 2016 consid. 1.1 et la référence citée).</w:t>
      </w:r>
    </w:p>
    <w:p>
      <w:r>
        <w:rPr>
          <w:b/>
        </w:rPr>
        <w:t>E. 2.5</w:t>
      </w:r>
    </w:p>
    <w:p>
      <w:r>
        <w:t>En l'espèce, comme l'a retenu le premier juge, la faute de l'appelant n'est de loin pas anodine, et devrait-on dire plutôt lourde. En effet, malgré les nombreux avertissements passés au vu de ses antécédents, il n'a eu cure de la décision d'interdiction de territoire qui lui a été signifiée et l'a bravée à plusieurs reprises pour aller faire des courses à la station-service de H______ ou pour se rendre dans le quartier de la gare de J______ en raison de sa toxicodépendance. Durant la période pénale, l'appelant a ainsi enfreint à tout le moins à sept reprises l'interdiction en cause. Cette façon d'agir est significative de l'absence d'impact des condamnations passées sur lui et exige une sévérité accrue au-regard de la récidive spécifique en cause, s'agissant de la faute, qui est le critère essentiel de fixation de la peine. Ses mobiles sont de pure convenance personnelle, l'appelant étant entré sur le territoire pour y effectuer des achats, qu'ils soient alimentaires ou de drogues. Sa situation personnelle n'était certes pas facile, mais le fait d'être pris en charge sur le plan médical et de bénéficier d'un traitement de substitution, tout comme de disposer d'un permis G pour frontalier jusqu'en début d'année 2021, aurait dû l'inciter à plus de prudence, de recul et de réflexion, étant précisé qu'après avoir bénéficié d'une libération conditionnelle le 28 mars 2020, il a eu la chance de ne pas se voir réintégrer dans le solde de peine à subir en dépit de nouvelles condamnations survenues dans le délai d'épreuve. Il est à relever que seule son arrestation a mis un terme à ses agissements. Ses antécédents ne sont pas bons et en partie spécifiques. Contrairement au TP qui a relevé une " bonne collaboration " de l'appelant et une " prise de conscience initiée " au vu notamment des projets de réinsertion affiché, l'avis de la CPAR est plus nuancé. En effet, il était difficile pour l'appelant de contester l'infraction à l'art. 119 al. 1 LEI en cause, vu les conditions de son interpellation. Par ailleurs, ce n'est qu'à la suite d'une instruction et seulement lors de son audition finale par-devant le premier juge qu'il a admis quelques incursions sur territoire genevois aux fins d'achats dans une station-service, ayant fortement minimisé les faits en début de procédure. S'agissant de sa prise de conscience, il faut à l'évidence constater que les projets dont a fait état l'appelant lors de son jugement sont les mêmes que ceux qu'il formulait déjà au printemps 2020 par-devant le TAPEM et qu'il n'a pas mis à exécution. Les récidives survenues les 7 et 25 février 2021 montrent qu'en réalité, il n'avait pas quitté le monde des stupéfiants et est resté toujours prêt à braver les interdits pour s'y adonner au lieu de se prendre en main sur le plan de son addiction et de s'éloigner de la région. D'ailleurs, comme l'a indiqué le premier juge, l'appelant a récidivé très peu après sa dernière condamnation, ce qui démontre, s'il en était, l'absence d'efficacité de la sanction alors prononcée avec sursis. Aussi, à ce stade, seule une peine privative de liberté ferme, d'une sévérité plus sensible que celle prononcée précédemment, est susceptible de servir de signal à l'appelant. Elle sera ainsi fixée à 120 jours. Reste la question de la révocation du précédent sursis, qui doit s'apprécier à l'aune de la peine ferme nouvellement arrêtée, étant rappelé que l'appelant a déjà purgé les 60 jours de peine privative de liberté infligés en première instance, qu'il reste détenu aux fins de purger d'autres écrous et qu'il devra encore purger 60 jours à l'entrée en force du présent arrêt (soit la peine à laquelle il a été condamné le 7 février 2021, dans la mesure où la détention avant jugement subie dans la présente procédure sera à décompter sur la peine infligée). La longue détention à ce jour de l'appelant, et qui va se poursuivre, lui apparaît comme profitable dans le réexamen du pronostic. Compte tenu de son comportement en exécution de peine et de sa récente amélioration de santé par la diminution du dosage de son traitement de substitution, conservant la confiance de K______, il est en effet permis de penser que son amendement sera suffisant pour ne pas sceller de manière univoque la question de la révocation du sursis et le conduire cette fois, au vu de son envie de s'en sortir, à mettre en œuvre de manière concrète ses projets à sa sortie de détention. Une récidive serait d'autant moins à craindre qu'il se justifie de prononcer son expulsion de Suisse (cf. consid. 3 infra ). Il sera dès lors renoncé à révoquer le sursis accordé le 25 février 2021. L'amende de CHF 100.- infligée par le premier juge pour la contravention à l'art. 19a ch. 1 LStup, non critiquée par le MP, sera confirmée.</w:t>
      </w:r>
    </w:p>
    <w:p>
      <w:r>
        <w:rPr>
          <w:b/>
        </w:rPr>
        <w:t>E. 3</w:t>
      </w:r>
    </w:p>
    <w:p>
      <w:r>
        <w:t>3.1. Conformément à l'art. 66a 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 CP (ATF 123 IV 107 consid. 1 ; arrêts du Tribunal fédéral 6B_607/2018 du 10 octobre 2018 consid. 1.1 ; 6B_770/2018 du 24 septembre 2018 consid. 1.1) – ne contredit pas l'interdiction de la double peine qui découle notamment de l'art. 6 de la Convention européenne des droits de l'homme (CEDH) ( AARP/202/2017 du 16 juin 2017 consid. 2.5). Comme toute décision étatique, le prononcé d'une expulsion non obligatoire doit respecter le principe de la proportionnalité ancré aux art. 5 al. 2 et 36 al. 2 et 3 de la Constitution suisse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(arrêt du Tribunal fédéral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(ATF 139 I 145 consid. 2.4 p. 149 ; ATF 139 I 31 consid. 2.3.3 p. 34 ss ; ATF 135 II 377 consid. 4.3 p. 3 ; arrêt du Tribunal fédéral 6B_607/2018 du 10 octobre 2018 consid. 1.4.1).</w:t>
      </w:r>
    </w:p>
    <w:p>
      <w:r>
        <w:rPr>
          <w:b/>
        </w:rPr>
        <w:t>E. 3.2</w:t>
      </w:r>
    </w:p>
    <w:p>
      <w:r>
        <w:t>L'appelant, au casier judiciaire déjà nourri, a passablement troublé l'ordre public suisse. L'interdiction de territoire prise à son encontre pour une durée d'une année sur la base de l'art. 74 LEI a été violée à plusieurs reprises, alors qu'il y a récidive spécifique. C'est dire que cette mesure n'a pas démontré une efficacité suffisante en vue de préserver les intérêts publics de la Suisse, lesquels se trouveront bien mieux protégés à l'appui d'une expulsion judiciaire, qui se justifie en la matière. Quant aux intérêts privés de l'appelant, qui n'a plus aucune attache avec le territoire, étant rappelé que son permis pour frontalier est échu, ceux-ci ne font pas le poids dans la balance des intérêts protégés. Il s'en suit qu'il convient de prononcer l'expulsion judiciaire de l'appelant pour une durée de trois ans, celle-ci restant proportionnée à la gravité des agissements reprochés.</w:t>
      </w:r>
    </w:p>
    <w:p>
      <w:r>
        <w:rPr>
          <w:b/>
        </w:rPr>
        <w:t>E. 3.3</w:t>
      </w:r>
    </w:p>
    <w:p>
      <w:r>
        <w:t>Il n'y a pas lieu d'étendre cette mesure d'expulsion à l'ensemble de l'espace Schengen, le prévenu étant ressortissant d'un Etat membre.</w:t>
      </w:r>
    </w:p>
    <w:p>
      <w:r>
        <w:rPr>
          <w:b/>
        </w:rPr>
        <w:t>E. 4</w:t>
      </w:r>
    </w:p>
    <w:p>
      <w:r>
        <w:t>L'appelant n'obtenant que partiellement gain de cause, soit pour deux griefs sur les trois soulevés, le tiers des frais de la procédure d'appel sera laissé à la charge de l'Etat. L'intimé, qui succombe, supportera les deux tiers des frais d'appel, comprenant un émolument de CHF 1'200.- (art. 428 al. 1 CPP). Il n'y a pas matière à révision des frais de première instance, outre que l'appel ne portait pas sur ceux-ci (art. 428 al. 3 CPP).</w:t>
      </w:r>
    </w:p>
    <w:p>
      <w:r>
        <w:rPr>
          <w:b/>
        </w:rPr>
        <w:t>E. 5</w:t>
      </w:r>
    </w:p>
    <w:p>
      <w:r>
        <w:t>.2.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sont également couvertes par le forfait ( AARP/425/2013 du 12 septembre 2013 ; AARP/142/2016 du 14 avril 2016 consid. 5.4.1, AARP/281/2015 du 25 juin 2015 et AARP/272/2015 du 1 er juin 2015 ; AARP/184/2016 du 28 avril 2016 consid. 5.3.1, AARP/158/2016 du 22 avril 2016 consid. 6.3 et AARP/525/2015 du 14 décembre 2015 consid. 7.2.2).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AARP/164/2016 du 14 avril 2016 consid. 6.3 ; AARP/102/2016 du 17 mars 2016 ; AARP/300/2015 du 16 juillet 2015).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 AARP/204/2016 du 9 mai 2016 consid. 7.3 et AARP/109/2016 du 17 mars 2016 consid. 8.2.4 et 8.3.1).</w:t>
      </w:r>
    </w:p>
    <w:p>
      <w:r>
        <w:rPr>
          <w:b/>
        </w:rPr>
        <w:t>E. 5.3</w:t>
      </w:r>
    </w:p>
    <w:p>
      <w:r>
        <w:t>En l'occurrence, il convient de retrancher de l'activité facturée par le défenseur d'office les postes relatifs aux lectures du jugement rendu par le TP et du mémoire d'appel du MP, ceux-ci ressortant du forfait. Il en va de même de celui consacré à la préparation d'un chargé de pièces, étant précisé qu'au vu de la brièveté de ce poste du 13 décembre 2021, il n'apparaît guère concevable qu'il ait été consacré, comme une partie de son intitulé l'indique, au mémoire de réponse. Enfin, il convient de réduire les postes consacrés à la rédaction du mémoire de réponse, cette activité, vu l'argumentation nécessaire à la défense des intérêts de l'appelant tenant sur un peu plus de trois pages, ne pouvant représenter plus de quatre heures de travail. En conclusion, la rémunération sera arrêtée à CHF 1'443.20 correspondant à 5h35 d'activité au tarif de CHF 200.-/heure plus la majoration forfaitaire de 20% et l'équivalent de la TVA au taux de 7.7% en CHF 103.20.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