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P/9954/2013 vom 9. Februar 2016</w:t>
      </w:r>
    </w:p>
    <w:p>
      <w:r>
        <w:t>GE Cour de justice, 2016-02-09, FR</w:t>
      </w:r>
    </w:p>
    <w:p>
      <w:r>
        <w:rPr>
          <w:b/>
        </w:rPr>
        <w:t xml:space="preserve">Quelle: </w:t>
      </w:r>
      <w:r>
        <w:t>https://mcp.opencaselaw.ch/entscheid/ge_gerichte_P_9954_2013</w:t>
      </w:r>
    </w:p>
    <w:p>
      <w:r>
        <w:t>FR: GE_GERICHTE P/9954/2013 du 9 février 2016</w:t>
      </w:r>
    </w:p>
    <w:p>
      <w:r>
        <w:t>IT: GE_GERICHTE P/9954/2013 del 9 febbraio 2016</w:t>
      </w:r>
    </w:p>
    <w:p>
      <w:pPr>
        <w:pStyle w:val="Heading2"/>
      </w:pPr>
      <w:r>
        <w:t>Regeste</w:t>
      </w:r>
    </w:p>
    <w:p>
      <w:r>
        <w:t>IN DUBIO PRO REO; PRÉSOMPTION D'INNOCENCE; DISPOSITIONS PÉNALES DE LA LSTUP; FIXATION DE LA PEINE; RÉCIDIVE(INFRACTION); RÉVOCATION DU SURSIS; SURSIS À L'EXÉCUTION DE LA PEINE; DÉTENTION(INCARCÉRATION); TORT MORAL; INDEMNITÉ POUR DÉTENTION; ALBANIE | LStup.19.1; CPP.429; CPP.10; CPP.431; CP.51</w:t>
      </w:r>
    </w:p>
    <w:p>
      <w:pPr>
        <w:pStyle w:val="Heading2"/>
      </w:pPr>
      <w:r>
        <w:t>Erwägungen</w:t>
      </w:r>
    </w:p>
    <w:p>
      <w:r>
        <w:rPr>
          <w:b/>
        </w:rPr>
        <w:t>E. 1</w:t>
      </w:r>
    </w:p>
    <w:p>
      <w:r>
        <w:t>Les appels sont recevables pour avoir été interjetés et motivés selon la forme et dans les délais prescrits (art. 398 et 399 du Code de procédure pénale suisse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w:t>
      </w:r>
    </w:p>
    <w:p>
      <w:r>
        <w:rPr>
          <w:b/>
        </w:rPr>
        <w:t>E. 2.2</w:t>
      </w:r>
    </w:p>
    <w:p>
      <w:r>
        <w:t>En l'espèce, l'appelant A______ habitait depuis une dizaine de jours dans l'appartement sis chemin G______ 8, qui servait de base à un trafic de stupéfiants. Compte tenu de l'exiguïté des lieux et du fait que lorsque la police est intervenue, l'héroïne était exposée sur la table au même titre que le matériel nécessaire à son conditionnement, il ne pouvait ignorer l'existence même d'un tel trafic. Ses explications selon lesquelles il n'avait rien vu, puisqu'il dormait, en plein jour, dans la pièce dans laquelle la drogue venait d'être livrée, ne sont pas crédibles, tout comme celles selon lesquelles il ignorait que les sachets minigrip pouvaient servir à conditionner des stupéfiants. Ses déclarations à ce sujet sont d'autant moins plausibles que l'appelant A______ avait été condamné à Genève quelques mois plus tôt pour vente d'héroïne en même temps que ses frères, des sachets minigrip contenant cette drogue ayant été trouvés dans les appartements occupés par la fratrie. Certes, le fait que l'appelant ait menti au sujet de ce qu'il a vu ou su n'est pas suffisant pour asseoir un verdict de culpabilité. La présence de son ADN sur la fermeture d'un sachet minigrip contenant de l'héroïne l'est bien davantage, l'emplacement de cette trace permettant de retenir que l'appelant a conditionné cette drogue, en fermant le sachet par une pression de ses doigts. Il en va de même de l'ADN sur les touches de la balance électronique, soit aussi à un endroit spécifiquement lié au conditionnement de la drogue, dont le prix dépend du poids. L'emplacement des traces ADN est bien trop spécifique et n'est pas compatible avec la thèse d'un contact fortuit avec les objets présents dans l'appartement, en vue de leur déplacement. Pour ces motifs, la CPAR considère que l'appelant A______ s'est bien rendu coupable d'avoir participé au conditionnement de l'héroïne. Quant à la quantité retenue, la drogue contenue dans le sachet minigrip ayant des liens chimiques avec celle à l'intérieur d'un sachet ouvert posé sur la table, d'un poids de 2.9 grammes, que l'appelant s'apprêtait aussi à conditionner, son trafic a porté à tout le moins sur 5.3 grammes d'héroïne, l'acquittement prononcé devant ainsi être annulé.</w:t>
      </w:r>
    </w:p>
    <w:p>
      <w:r>
        <w:rPr>
          <w:b/>
        </w:rPr>
        <w:t>E. 3</w:t>
      </w:r>
    </w:p>
    <w:p>
      <w:r>
        <w:t>3.1.1. Pour la fixation de la peine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3.1.2.1.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3.1.2.2.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3.2</w:t>
      </w:r>
    </w:p>
    <w:p>
      <w:r>
        <w:t>En l'espèce, l'appelant A______ a un antécédent spécifique et récent, dès lors qu'il avait été condamné le ___ décembre 2012 pour vente d'héroïne et qu'il a récidivé moins de trois mois plus tard, soit durant le délai d'épreuve. Bien qu'il réside en Albanie, l'appelant est venu à deux reprises à Genève expressément pour commettre des infractions, et non pas pour chercher du travail comme il l'a prétendu. Le pronostic est ainsi clairement défavorable et conduit au prononcé d'une peine ferme, sans qu'il ne soit nécessaire de révoquer le précédent sursis ni d'en prolonger le délai d'épreuve. Le travail d'intérêt général n'entre pas en considération, l'appelant ne résidant pas en Suisse. Le prononcé d'une peine pécuniaire non plus, celle précédemment infligée n'ayant pas eu le moindre effet dissuasif, vu l'empressement avec lequel l'appelant a récidivé. Le prononcé d'une courte peine privative de liberté constitue ainsi la sanction adéquate. Pour le surplus, la faute de l'appelant est moyennement grave. Il a profité de son séjour en Suisse pour prendre part à un trafic d'héroïne d'envergure et a participé au conditionnement d'une petite partie de la drogue à tout le moins. Sa prise de conscience est inexistante et sa collaboration à l'enquête mauvaise. L'appelant a refusé de répondre aux questions des policiers, puis persisté à nier, jusqu'aux débats d'appel, toute implication personnelle, maintenant tout ignorer des activités illicites auxquelles il a pourtant prêté main forte. Contrairement à H______, l'appelant n'est pas consommateur d'héroïne et a agi uniquement par appât du gain. La quantité trafiquée par lui est toutefois de faible importance (5.3 grammes), même s'il ne faut pas perdre de vue qu'il s'agit d'héroïne, soit une drogue dite dure dont les effets sur la santé des consommateurs sont dévastateurs. Pour l'ensemble de ces motifs, une courte peine privative de liberté de 90 jours sera prononcée.</w:t>
      </w:r>
    </w:p>
    <w:p>
      <w:r>
        <w:rPr>
          <w:b/>
        </w:rPr>
        <w:t>E. 4</w:t>
      </w:r>
    </w:p>
    <w:p>
      <w:r>
        <w:t>. 4.1.1. L'art. 51 CP impose au juge d'imputer la durée de la détention avant jugement sur la sanction infligée. La privation de liberté à subir doit toujours être compensée avec celle déjà subie, pour autant que cela soit possible (ATF 133 IV 150 consid. 5.1.1 p. 155). 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Tant qu'elle reste possible, l'imputation l'emporte sur l'indemnisation (Message relatif à l'unification du droit de la procédure pénale (CPP) du 21 décembre 2005, FF 2006 p. 1314 ; R. ROTH / L. MOREILLON (éds), Code pénal I : art. 1-100 CP , Bâle 2009, n. 9 ad art. 51), et le prévenu n'a pas le choix entre l'une ou l'autre (arrêts du Tribunal fédéral 6B_169/2012 du 25 juin 2012 consid. 6 ; 1B_179/2011 du 17 juin 2011 consid. 4.2 et les références citées ; 6B_84/2014 du 13 août 2014 consid. 5.1 ; ACPR/409/2013 du 29 août 2013). 4.1.2 . Si le prévenu est privé de sa liberté, même très brièvement, le tort moral est d'abord calculé sur la base d'une indemnité journalière. En l'absence de circonstances particulières, l'indemnité pour détention injustifiée est de CHF 200.- par jour (arrêt du Tribunal fédéral 6B_437/2014 du 29 décembre 2014 consid. 3). Ce montant peut ensuite être modifié en fonction de circonstances particulières, telles que la sensibilité du prévenu, le retentissement de la procédure sur son entourage ou la publicité particulière ayant entouré l'affaire en cause (A. KUHN / Y. JEANNERET (éds), Commentaire romand : Code de procédure pénale suisse , Bâle 2011, n. 48 ad art. 429). L'indemnité doit en principe être fixée sans égard au lieu de vie de l'ayant droit et à ce qu'il va faire de l'argent obtenu (ATF 125 II 554 consid. 4a p. 559 ; 123 II 10 consid. 4c p. 13). Ce n'est qu'exceptionnellement, à savoir en présence de différences particulièrement grandes par rapport aux conditions de vie en Suisse, qu'il faut prendre en compte un coût de la vie plus faible pour le calcul de l'indemnité pour tort moral, afin de ne pas favoriser de manière crasse l'ayant droit vivant à l'étranger (arrêt du Tribunal fédéral 6b_1052/2014 du 22 décembre 2014 consid. 2.4 ; ATF 125 II 554 consid. 2b p. 556 consid. 4a p. 559 ; 123 III 10 consid. 4c/bb p. 14 s.). La réduction ne doit toutefois pas intervenir de manière schématique, notamment selon le rapport entre le coût de la vie au domicile du demandeur et celui en Suisse (ATF 125 II 554 consid. 4a p. 559).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arrêts du Tribunal fédéral 1A.299/2000 du 30 mai 2001 consid. 5c : Bosnie-Herzégovine, pouvoir d'achat 6 à 7 fois plus élevé permettant une réduction de l'indemnité ; 1C_106/2008 du 24 septembre 2008 consid. 4.2 : Portugal, coût de la vie correspondant à 70% du coût de la vie suisse ne justifiant pas de réduction). Statuant selon les règles du droit et de l'équité (art. 4 CC), le juge dispose d'un large pouvoir d'appréciation. Ainsi, la juridiction d'appel a diminué de 70% l'indemnité pour tort moral dans le cas d'un ressortissant kosovar qui avait subi 76 jours de détention ( AARP/376/2012 du 16 novembre 2012) et de 65% dans le cas d'un ressortissant tunisien qui avait subi 183 jours de détention ( AARP/605/2013 du 30 décembre 2013 ; ACPR/434/2014 du 29 septembre 2014). 4.1.3.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2014, le PIB par habitant suisse était de CHF 78'432.- (Office fédéral de la statistique, Produit intérieur brut – Données, indicateurs, produit par habitant, disponible sur : http://www.bfs.admin.ch/bfs/portal/fr/index/themen/04/02/01/key/ bip_einw.html [consulté le 2 février 2016]). En Albanie, ce chiffre s'élevait à USD 4619.- (Département fédéral des affaires étrangères, L'Albanie en bref, disponible sur : https://www.eda.admin.ch/eda/fr/dfae/ representations-et-conseils-aux-voyageurs/albanie/albanie-en-bref.html [consulté le 2 février 2016]), soit environ CHF 4'300.- au taux de change moyen afférent à l'année 2014.</w:t>
      </w:r>
    </w:p>
    <w:p>
      <w:r>
        <w:rPr>
          <w:b/>
        </w:rPr>
        <w:t>E. 4.2</w:t>
      </w:r>
    </w:p>
    <w:p>
      <w:r>
        <w:t>En l'espèce, il convient d'imputer les 130 jours de détention préventive subie sur la peine de 90 jours infligée à l'appelant, la détention excessive à indemniser étant ainsi de 40 jours. Quant au montant de l'indemnité journalière, il ressort de la comparaison entre le produit intérieur brut par habitant en Suisse et celui en Albanie que le niveau de vie en Albanie est 18 fois moins élevé qu'en Suisse. Vu cette différence conséquente, la CPAR estime que le lieu de vie de l'appelant constitue en l'espèce une circonstance particulière justifiant de réduire le montant journalier de principe de CHF 200.-. Une indemnité journalière de CHF 80.- reflète adéquatement cette différence, sans être schématique, et sera partant retenue, la CPAR n'étant pas liée par l'interdiction de la reformation in pejus , le Ministère public ayant attaqué le jugement entrepris y compris quant à l'indemnité allouée à l'appelant. On relèvera, au surplus, que l'appelant n'a pas fait état de souffrances particulières, sinon celles inhérentes à toute incarcération, qui justifieraient d'augmenter ce montant. Il sera en conséquence alloué à l'appelant une indemnité pour tort moral de CHF 3'200.- (40 x CHF 80.-). Vu la condamnation prononcée, l'appelant n'a pas droit à l'indemnisation de ses frais de voyage et d'hébergement, le jugement entrepris devant être réformé sur ce point également (cf. art 429 CPP).</w:t>
      </w:r>
    </w:p>
    <w:p>
      <w:r>
        <w:rPr>
          <w:b/>
        </w:rPr>
        <w:t>E. 5</w:t>
      </w:r>
    </w:p>
    <w:p>
      <w:r>
        <w:t>La procédure n'a pas établi que le téléphone portable utilisé par l'appelant, et enregistré sous un prête-nom, a servi au trafic, l'analyse de la téléphonie n'ayant rien révélé à cet égard. En tant qu'il a ordonné la restitution de cet appareil, et celle de la carte SIM, le jugement entrepris sera confirmé.</w:t>
      </w:r>
    </w:p>
    <w:p>
      <w:r>
        <w:rPr>
          <w:b/>
        </w:rPr>
        <w:t>E. 6</w:t>
      </w:r>
    </w:p>
    <w:p>
      <w:r>
        <w:t>L'appelant A______, qui succombe pour l'essentiel, supportera les trois quarts des frais de la procédure d'appel (art. 428 CPP), le solde étant laissé à la charge de l'Etat.</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Selon l'art 16. al. 2 RAJ,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7.2.4.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7.2.5. Selon l'art. 17 RAJ, l'état de frais doit détailler, par rubrique, les activités donnant lieu à indemnisation, avec indication du temps consacré, et les justificatifs doivent être joints.</w:t>
      </w:r>
    </w:p>
    <w:p>
      <w:r>
        <w:rPr>
          <w:b/>
        </w:rPr>
        <w:t>E. 7.3</w:t>
      </w:r>
    </w:p>
    <w:p>
      <w:r>
        <w:t>En l'occurrence, l'état de frais de M e B______ est globalement en adéquation avec la nature, l'importance et la difficulté de la cause. Il sera pris en compte dans son intégralité, sous réserve du temps consacré à la rédaction de la déclaration d'appel (20 minutes), qui sera retranché, cette démarche étant comprise dans le forfait pour l'activité diverse.</w:t>
      </w:r>
    </w:p>
    <w:p>
      <w:r>
        <w:rPr>
          <w:b/>
        </w:rPr>
        <w:t>E. 7.4</w:t>
      </w:r>
    </w:p>
    <w:p>
      <w:r>
        <w:t>En conclusion, l'indemnité sera arrêtée à CHF 2'160.- correspondant à 8h20 d'activité au tarif de chef d'étude de CHF 200.-/heure (CHF 1'667.-) plus la majoration forfaitaire de 20% (CHF 333.-) et l'équivalent de la TVA au taux de 8% en CHF 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