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P/9915/2014 vom 18. März 2015</w:t>
      </w:r>
    </w:p>
    <w:p>
      <w:r>
        <w:t>GE Cour de justice, 2015-03-18, FR</w:t>
      </w:r>
    </w:p>
    <w:p>
      <w:r>
        <w:rPr>
          <w:b/>
        </w:rPr>
        <w:t xml:space="preserve">Quelle: </w:t>
      </w:r>
      <w:r>
        <w:t>https://mcp.opencaselaw.ch/entscheid/ge_gerichte_P_9915_2014</w:t>
      </w:r>
    </w:p>
    <w:p>
      <w:r>
        <w:t>FR: GE_GERICHTE P/9915/2014 du 18 mars 2015</w:t>
      </w:r>
    </w:p>
    <w:p>
      <w:r>
        <w:t>IT: GE_GERICHTE P/9915/2014 del 18 marzo 2015</w:t>
      </w:r>
    </w:p>
    <w:p>
      <w:pPr>
        <w:pStyle w:val="Heading2"/>
      </w:pPr>
      <w:r>
        <w:t>Regeste</w:t>
      </w:r>
    </w:p>
    <w:p>
      <w:r>
        <w:t>APPEL(CPP); IN DUBIO PRO REO; PRÉSOMPTION D'INNOCENCE; POUVOIR D'APPRÉCIATION; VOL(DROIT PÉNAL); TENTATIVE(DROIT PÉNAL); RÉGIME DE LA DÉTENTION; DÉFENSE D'OFFICE; FRAIS DE LA PROCÉDURE | CP.139; CP.186; CP.22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Le Ministère public conclut à l'irrecevabilité des conclusions de l'appelant figurant pour la première fois en appel dans son mémoire du 2 février 2015 visant à son acquittement pour dommages à la propriété.</w:t>
      </w:r>
    </w:p>
    <w:p>
      <w:r>
        <w:rPr>
          <w:b/>
        </w:rPr>
        <w:t>E. 1.2.1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L’objet de l’appel et donc le cadre des débats est fixé définitivement par la déclaration d’appel (cf. art. 399 al. 4 CPP), ce qui a pour conséquence qu’une partie ne peut plus élargir son appel à d’autres points au-delà du délai de vingt jours de l’art. 399 al. 3 CPP (cf. A. KUHN / Y. JEANNERET (éds), Commentaire romand : Code de procédure pénale suisse , Bâle 2011, n. 21 ad art. 399 CPP).</w:t>
      </w:r>
    </w:p>
    <w:p>
      <w:r>
        <w:rPr>
          <w:b/>
        </w:rPr>
        <w:t>E. 1.2.2</w:t>
      </w:r>
    </w:p>
    <w:p>
      <w:r>
        <w:t>Par déclaration d'appel du 15 octobre 2014, l'appelant a indiqué attaquer partiellement le jugement de première instance dans la mesure où il l'a reconnu coupable de vol en bande et de tentative de vol en bande, ainsi que la quotité de la peine infligée. Dès lors que la déclaration d'appel fige de manière définitive le cadre de l'appel, les nouvelles conclusions formées dans le mémoire d'appel du 2 février 2015 en relation avec l'infraction de dommages à la propriété sont irrecevables. Pour les mêmes motifs, dans la mesure où la déclaration d'appel vise à attaquer la condamnation de l'appelant pour vol en bande et tentative de vol en bande, la conclusion figurant dans le mémoire d'appel visant à son acquittement pour vol sera déclarée irrecevable.</w:t>
      </w:r>
    </w:p>
    <w:p>
      <w:r>
        <w:rPr>
          <w:b/>
        </w:rPr>
        <w:t>E. 2.1</w:t>
      </w:r>
    </w:p>
    <w:p>
      <w:r>
        <w:t>Le principe in dubio pro reo , qui découle de la présomption d’innocence, garantie sur le plan international par l’art. 6 ch. 2 CEDH et sur le plan interne par les art. 32 al. 1 Cst. et 10 al. 3 CPP, concerne tant le fardeau de la preuve que l’appréciation des preuves. En tant que règle sur le fardeau de la preuve, ce principe signifie qu’il incombe à l’accusation d’établir la culpabilité du prévenu, et non à ce dernier de démontrer son innocence. Il est notamment violé lorsque le juge rend un verdict de culpabilité au seul motif que le prévenu n’a pas prouvé son innocence (ATF 127 I 38 consid. 2a p. 40 et les arrêts cités).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w:t>
      </w:r>
    </w:p>
    <w:p>
      <w:r>
        <w:rPr>
          <w:b/>
        </w:rPr>
        <w:t>E. 2.3</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est puni d'une peine privative de liberté de dix ans au plus ou d'une peine pécuniaire de 180 jours-amende au moins si son auteur l'a commis en qualité d'affilié à une bande formée pour commettre des brigandages ou des vols (art. 139 ch. 3 CP).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 L'association a pour caractéristique de renforcer physiquement et psychiquement chacun des membres, de sorte qu'elle les rend particulièrement dangereux et laisse prévoir la commission d'autres infractions de ce type. Du point de vue subjectif, il suffit que l'auteur connaisse et veuille les circonstances de fait qui correspondent à la définition de la bande (ATF 124 IV 286 consid. 2a p. 293 s.).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w:t>
      </w:r>
    </w:p>
    <w:p>
      <w:r>
        <w:rPr>
          <w:b/>
        </w:rPr>
        <w:t>E. 2.4</w:t>
      </w:r>
    </w:p>
    <w:p>
      <w:r>
        <w:t>Selon l'art. 22 CP, qui réglemente la punissabilité de la tentative,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w:t>
      </w:r>
    </w:p>
    <w:p>
      <w:r>
        <w:rPr>
          <w:b/>
        </w:rPr>
        <w:t>E. 3</w:t>
      </w:r>
    </w:p>
    <w:p>
      <w:r>
        <w:t>L'appelant conclut à son acquittement des chefs de vol en bande et de tentative de vol en bande s'agissant des faits dénoncés par les entreprises D______ et C______ Sàrl. Sa dernière version, s'agissant de sa présence dans la nuit du 14 au 15 mai 2014 dans les locaux, respectivement aux abords de ces deux sociétés voisines au ______, avec E______, F______ et G______, est que tous quatre cherchaient un endroit où dormir. Tel n'est pourtant pas celle donnée devant le Ministère public immédiatement après son interpellation et après avoir fait usage de son droit de se taire auprès de la police. Il a alors reconnu la commission du cambriolage au préjudice de la première de ces deux sociétés, respectivement la tentative de cambriolage au préjudice de la seconde, ce après en avoir décidé avec ses trois comparses. Il a alors donné la précision que lui-même et G______ étaient entrés dans les locaux de la première société, pendant que F______ les attendait dans la voiture et qu'E______ attendait un peu plus loin, autrement dit faisait le guet. Entendus par la police, ses trois comparses, niant initialement s'être trouvés aux abords des sociétés lésées pour commettre des cambriolages, ont confirmé que tel fût le cas, une fois confrontés aux observations de la police. G______ a reconnu avoir pénétré dans les locaux de la société D______ dans le but de prendre tout ce qui avait de la valeur et y avoir dérobé des objets, dont ce qu'il croyait être une radio, soit au final l'appareil H______ retrouvé dans la voiture des cambrioleurs. C'est l'appelant qui avait forcé la porte avec une barre métallique avant de pénétrer dans les locaux avec lui. Selon E______, c'est G______ qui avait proposé de commettre un cambriolage dans le but d'obtenir de l'argent, après avoir repéré le lieu concerné. Il avait lui-même fait le guet pendant que F______ attendait dans la voiture et que les deux autres étaient entrés dans les locaux. Il a précisé que le butin devait être partagé à parts égales entre eux. F______ a précisé que les trois autres avaient l'intention de cambrioler les locaux d'une société commerciale et qu'ils avaient effectué des repérages pendant la journée. Il s'était contenté de conduire le véhicule. Plus tard, devant le Ministère public, les trois comparses de l'appelant ont confirmé leurs précédentes déclarations à la police, précisant avoir tous quatre décidé de commettre des cambriolages. Le premier ignorait si les autres avaient dérobé quelque chose sur place. Deux mois plus tard, après avoir tous quatre été détenus à la prison de Champ-Dollon, c'est une autre version qui a été servie à la justice, à savoir que tous quatre s'étaient rendus dans, respectivement aux abords, des sociétés visées, dans le but de dormir et n'avaient initialement pas eu l'intention de voler sur place quoi que ce soit. A l'audience de jugement, les prévenus, pour la première fois, ont prétendu avoir été frappés lors de leur audition à la police. La CPAR tient pour fantaisistes les déclarations données dans un second temps par les prévenus, après avoir tous quatre admis s'être rendus dans le secteur concerné pour commettre des cambriolages. Les repérages faits plus tôt au moyen de la voiture de F______ attestent d'une volonté de retour sur place dans la nuit pour commettre des infractions et non pas simplement pour y dormir. Il ne ressort pas de la procédure, excepté des déclarations faites par F______ dans un second temps, que la voiture utilisée durant la nuit en question aurait effectivement été lavée plus tôt dans la journée, étant relevé que les quelques minutes pour se livrer à cette activité ne justifiaient pas les deux allers-retours dans cette zone industrielle constatés vers 14h20, puis vers 17h30, un seul voyage étant suffisant pour ce faire. La présence de deux prévenus, l'un restant au volant de la voiture et l'autre aux abords des lieux pendant que deux autres, dont l'appelant, pénétraient à l'intérieur des locaux ou du moins cherchaient à le faire, plaide aussi en faveur de la version initialement donnée par les auteurs. Une telle répartition des rôles ne s'imposait à l'évidence pas pour trouver un endroit pour dormir. Les explications données par F______ expliquant qu'il attendait que ses comparses lui fassent signe que la voie était libre pour leur amener du matériel en vue de passer la nuit ne trouvent pas appui dans les pièces saisies dans sa voiture, puisque ne s'y trouvaient pas par exemple des habits et couvertures. Dans la mesure où l'appelant a indiqué vivre à Ambilly au moment de son interpellation, rien ne justifiait qu'il vienne dormir dans de vagues locaux à Genève, en zone industrielle. Il n'y a pas plus de crédit à apporter aux déclarations des protagonistes, selon lesquelles ils n'auraient au final pas dormi en ces lieux du moment qu'ils ne s'y prêtaient pas, étant rappelé qu'après leurs méfaits ils se sont rendus en ville où ils ont été interpellés. La présence de plusieurs paires de gants et d'un flacon de poivre en poudre, susceptible d'être utilisé par les cambrioleurs pour perturber l'odorat des chiens policiers, sont autant d'éléments supplémentaires permettant de conclure que les quatre prévenus étaient bien sur place pour commettre des cambriolages et ne détenaient pas ces pièces pour assaisonner des plats, respectivement fouiller des poubelles. Ainsi, en tenant compte des versions initialement données de manière concordante par les quatre prévenus, des repérages effectués dans la journée, du matériel dont ils étaient munis, du vol effectivement intervenu d'un appareil photo de marque H______, et du caractère fantaisiste de la raison de leur présence sur place, il ne fait aucun doute que tous quatre se sont dans la nuit du 14 au 15 mai 2014 rendus dans la zone industrielle de Vernier dans le but de commettre des cambriolages et d'en retirer le maximum de valeurs qu'ils y auraient trouvées, quand bien même au final seul un appareil photo a fait partie de leur butin. Il s'agissait bien d'une décision commune et préméditée avec convention d'un partage égal du butin. Force est de supposer que si la police n'était pas intervenue plus tard dans la nuit pour interpeller le quatuor arrivé en ville, il aurait passé à nouveau à l'action, probablement dans sa même composition, dès que l'occasion se serait présentée. Enfin, les quatre condamnations en Suisse de l'appelant depuis mars 2012, pour vol, vol en bande et d'autres infractions clairement évocatrices de la commission de cambriolages, assoient définitivement cette conviction. En regard de l'ensemble de ces considérations, aucun doute sérieux et insurmontable ne subsiste quant au fait que les quatre comparses, qui se connaissaient à tout le moins depuis une semaine environ avant les faits incriminés, se sont associés pour perpétrer des cambriolages. C'est ainsi à juste titre que le Tribunal de police a reconnu l'appelant coupable de vol en bande, respectivement de tentative de vol en bande, en relation avec les faits retenus dans l'acte d'accusation du Ministère public du 31 juillet 2014.</w:t>
      </w:r>
    </w:p>
    <w:p>
      <w:r>
        <w:rPr>
          <w:b/>
        </w:rPr>
        <w:t>E. 4</w:t>
      </w:r>
    </w:p>
    <w:p>
      <w:r>
        <w:t>4.1. Référence est faite aux considérants 2.3. et 2.4. en ce qui concerne la peine dont est passible celui qui se rend coupable de vol en bande et de tentative de vol en bande, étant rappelé que la condamnation de l'appelant pour violation de domicile et tentative de violation de domicile ne peut plus être remise en cause devant la CPAR, comme retenu ci-dessus sous considérant 1.2.2., verdict qui ne saurait être qualifié d'inéquitable.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4.3</w:t>
      </w:r>
    </w:p>
    <w:p>
      <w:r>
        <w:t>En l'espèce, comme retenu à juste titre par le premier juge, la faute de l'appelant est non négligeable, pour s'en être pris au patrimoine d'autrui, sur une période brève s'agissant en l'espèce d'une nuit. Il y a concours d'infractions (art. 49 CP). L'appelant a agi par pur appât du gain et, bien qu'étant dans une situation précaire, a eu par le passé la possibilité de travailler. Il est resté en Suisse après sa dernière sortie de prison et n'a pas hésité à récidiver une semaine plus tard. Sa collaboration à la procédure a été mauvaise, l'appelant, après avoir reconnu les faits, étant revenu sur ses déclarations en s'enferrant dans des explications fantaisistes. Un tel comportement est la preuve de l'absence de toute prise de conscience du caractère illégal de ses agissements. Compte tenu de l'ensemble de ces éléments, la peine privative de liberté de 12 mois prononcée par le juge de première instance est adéquate, de même que le fait qu'elle ne soit pas assortie du sursis, ce à quoi l'appelant ne conclut d'ailleurs pas. Le jugement entrepris sera partant confirmé sur ces deux points.</w:t>
      </w:r>
    </w:p>
    <w:p>
      <w:r>
        <w:rPr>
          <w:b/>
        </w:rPr>
        <w:t>E. 5</w:t>
      </w:r>
    </w:p>
    <w:p>
      <w:r>
        <w:t>L'appelant A______ se prévaut de l'application de l'art. 3 CEDH pour ses conditions de détention à Champ-Dollon et demande une réparation de CHF 27'650.- à ce titre pour la période de 553 jours allant du ______ août 2013 au ______ février 2015. Le Ministère public relève qu'il n'était détenu dans la présente procédure qu'à compter du 15 mai 2014.</w:t>
      </w:r>
    </w:p>
    <w:p>
      <w:r>
        <w:rPr>
          <w:b/>
        </w:rPr>
        <w:t>E. 5.1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5.2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 Selon le Tribunal fédéral,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 (arrêt 1B_369/2013 du 26 février 2014 consid. 3.6.3). Pour le Tribunal appelé à se déterminer sur un cas précis, "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(ibidem).</w:t>
      </w:r>
    </w:p>
    <w:p>
      <w:r>
        <w:rPr>
          <w:b/>
        </w:rPr>
        <w:t>E. 5.3</w:t>
      </w:r>
    </w:p>
    <w:p>
      <w:r>
        <w:t>La juridiction d'appel a sollicité, à la requête de l'appelant, un rapport exhaustif sur ses conditions de détention à la prison de Champ-Dollon. Ce rapport révèle que seule la période comprise entre le ______ août 2013 et le ______ janvier 2014 est problématique au regard des 141 nuits consécutives passées par A______ dans les cellules 2 ______ puis 3______ Sud, laissant à chacun un espace de 3,39 m2, et ce dans une situation de confinement en cellule 23h sur 24h. Pour les autres périodes, la situation, certes difficile, n'a jamais atteint un stade constitutif d'une violation de l'art. 3 CEDH, sur la durée de plus de 90 jours considérée par le Tribunal fédéral.</w:t>
      </w:r>
    </w:p>
    <w:p>
      <w:r>
        <w:rPr>
          <w:b/>
        </w:rPr>
        <w:t>E. 5.4</w:t>
      </w:r>
    </w:p>
    <w:p>
      <w:r>
        <w:t>Toutefois, comme relevé à juste titre par le Ministère public, entre le ______ août 2013 et le ______ janvier 2014, l'appelant n'était pas détenu provisoirement dans le cadre de la présente procédure, mais dans la procédure P/2______ ayant donné lieu à l'AARP/3______ du ______. La CPAR n'est partant pas compétente pour se prononcer sur une détention provisoire intervenue dans une autre procédure, de sorte que les prétentions de l'appelant seront rejetées.</w:t>
      </w:r>
    </w:p>
    <w:p>
      <w:r>
        <w:rPr>
          <w:b/>
        </w:rPr>
        <w:t>E. 6</w:t>
      </w:r>
    </w:p>
    <w:p>
      <w:r>
        <w:t>Les motifs ayant conduit les premiers juges à prononcer, par ordonnance séparée du 26 août 2014,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l'Etat comprenant un émolument de décision de CHF 2'500.-, le solde restant à la charge de l'Etat.</w:t>
      </w:r>
    </w:p>
    <w:p>
      <w:r>
        <w:rPr>
          <w:b/>
        </w:rPr>
        <w:t>E. 8</w:t>
      </w:r>
    </w:p>
    <w:p>
      <w:r>
        <w:t>8 .1.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que pour statuer sur l'activité postérieure à sa saisine, le 3 novembre 2014.</w:t>
      </w:r>
    </w:p>
    <w:p>
      <w:r>
        <w:rPr>
          <w:b/>
        </w:rPr>
        <w:t>E. 8.2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8.3</w:t>
      </w:r>
    </w:p>
    <w:p>
      <w:r>
        <w:t>Me B______ a été désignée défenseur d'office de l'appelant le 15 mai 2014. Elle a déposé devant la CPAR un état de frais pour l'activité déployée du 22 janvier 2015 jusqu'au 2 février 2015, pour 14 heures d'activité, soit 1 heure de conférence avec son mandant à la prison et 13 heures pour l'étude du dossier et la rédaction du mémoire d'appel. Les postes d'étude du dossier et de rédaction du mémoire d'appel seront réduits à 9 heures dans la mesure où la défense de l'appelant en seconde instance n'a pas commandé de nouvelles recherches ou développements autres que ceux exposés devant le Tribunal de police, excepté pour les conditions de détention. Par conséquent, l'état de frais sera admis à concurrence de 10 heures d'activité de chef d'étude, ce qui correspond à une indemnité de base de CHF 2'000.-. Il convient d'ajouter à ce montant l'indemnisation forfaitaire de 10%, dans la mesure où l'état de frais taxé en première instance comprend 24 heures 45 minutes d'activité, de sorte que l'on excède 30 heures, soit CHF 200.-, plus la TVA de CHF 176.-.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