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P/9902/2021 vom 17. September 2021</w:t>
      </w:r>
    </w:p>
    <w:p>
      <w:r>
        <w:t>GE Cour de justice, 2021-09-17, FR</w:t>
      </w:r>
    </w:p>
    <w:p>
      <w:r>
        <w:rPr>
          <w:b/>
        </w:rPr>
        <w:t xml:space="preserve">Quelle: </w:t>
      </w:r>
      <w:r>
        <w:t>https://mcp.opencaselaw.ch/entscheid/ge_gerichte_P_9902_2021</w:t>
      </w:r>
    </w:p>
    <w:p>
      <w:r>
        <w:t>FR: GE_GERICHTE P/9902/2021 du 17 septembre 2021</w:t>
      </w:r>
    </w:p>
    <w:p>
      <w:r>
        <w:t>IT: GE_GERICHTE P/9902/2021 del 17 settembre 2021</w:t>
      </w:r>
    </w:p>
    <w:p>
      <w:pPr>
        <w:pStyle w:val="Heading2"/>
      </w:pPr>
      <w:r>
        <w:t>Regeste</w:t>
      </w:r>
    </w:p>
    <w:p>
      <w:r>
        <w:t>DÉNONCIATION CALOMNIEUSE;DIFFAMATION | CPP.310; CP.173; CP.174; CP.303; CP.14</w:t>
      </w:r>
    </w:p>
    <w:p>
      <w:pPr>
        <w:pStyle w:val="Heading2"/>
      </w:pPr>
      <w:r>
        <w:t>Erwägungen</w:t>
      </w:r>
    </w:p>
    <w:p>
      <w:r>
        <w:rPr>
          <w:b/>
        </w:rPr>
        <w:t>E. 1</w:t>
      </w:r>
    </w:p>
    <w:p>
      <w:r>
        <w:t>Les recours sont recevables pour avoir été déposés selon la forme et dans le délai prescrits (art. 385 al. 1 et 396 al. 1 CPP) – les formalités de notification (art. 85 al. 2 CPP) n'ayant pas été observées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CPP).![endif]&gt;![if&gt;</w:t>
      </w:r>
    </w:p>
    <w:p>
      <w:r>
        <w:rPr>
          <w:b/>
        </w:rPr>
        <w:t>E. 2</w:t>
      </w:r>
    </w:p>
    <w:p>
      <w:r>
        <w:t>Interjetés contre la même ordonnance et concernant le même complexe de faits, les deux recours seront joints et la Chambre de céans statuera par un seul et même arrêt. ![endif]&gt;![if&gt;</w:t>
      </w:r>
    </w:p>
    <w:p>
      <w:r>
        <w:rPr>
          <w:b/>
        </w:rPr>
        <w:t>E. 3</w:t>
      </w:r>
    </w:p>
    <w:p>
      <w:r>
        <w:t>Partant, l'ordonnance querellée sera confirmée par substitution de motifs. ![endif]&gt;![if&gt;</w:t>
      </w:r>
    </w:p>
    <w:p>
      <w:r>
        <w:rPr>
          <w:b/>
        </w:rPr>
        <w:t>E. 3.1</w:t>
      </w:r>
    </w:p>
    <w:p>
      <w:r>
        <w:t>Conformément à l'art. 310 al. 1 let. a CPP et en vertu du principe "in dubio pro duriore" ,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![endif]&gt;![if&gt; Le ministère public doit être certain que les faits ne sont pas punissables (ATF 137 IV 285 consid. 2.3). La situation doit être claire, en fait et en droit (N. SCHMID / D. JOSITSCH, Schweizerische Strafprozessordnung : Praxiskommentar , 3 e ed., Zurich 2018, n. 2 ad art. 310). En cas de doute une instruction doit en principe être ouverte, quand bien même elle devrait ultérieurement s'achever par un classement (ATF 137 IV 285 consid. 2.2.; ACPR/106/2012 du 9 mars 2012).</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![endif]&gt;![if&gt; Pour qu'il y ait diffamation, il faut que l'auteur s'adresse à un tiers. Est en principe un tiers au sens des art. 173 et 174 CP toute personne autre que l'auteur et l'objet des propos qui portent atteinte à l'honneur, par exemple l'avocat de l'auteur, les magistrats (ATF 86 IV 209 et références citées). Toutefois, le Tribunal fédéral relève qu'en doctrine, la majorité des auteurs estime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(arrêt du Tribunal fédéral 6B_185/2011 du 22 décembre 2011 consid. 6.2 et les références citées). Des déclarations objectivement attentatoires à l'honneur peuvent être justifiées par le devoir d'alléguer des faits dans le cadre d'une procédure (art. 14 CP). Le Tribunal fédéral a admis l'application de l'art. 14 CP en faveur de la personne appelée à donner des renseignements (ATF 135 IV 177 consid. 4). Le justiciable est toutefois tenu de se limiter aux déclarations nécessaires et pertinentes, respectivement de présenter comme telles de simples suppositions (ATF 135 IV 177 consid. 4; arrêt du Tribunal fédéral 6B_1254/2019 du 16 mars 2020 consid. 7.1).</w:t>
      </w:r>
    </w:p>
    <w:p>
      <w:r>
        <w:rPr>
          <w:b/>
        </w:rPr>
        <w:t>E. 3.3</w:t>
      </w:r>
    </w:p>
    <w:p>
      <w:r>
        <w:t>La calomnie (art. 174 CP) est une forme qualifiée de diffamation (art. 173 CP), dont elle se distingue en ceci que les allégations attentatoires à l'honneur sont fausses et que l'auteur doit avoir eu connaissance de la fausseté desdites allégations. ![endif]&gt;![if&gt; La dénonciation calomnieuse (art. 303 CP) l’emporte sur la calomnie (ATF 115 IV 1 ). Il y a donc lieu d'examiner en premier lieu si l'accusation de dénonciation calomnieuse est fondée ( ACPR/146/2015 du 10 mars 2015 consid. 5.1).</w:t>
      </w:r>
    </w:p>
    <w:p>
      <w:r>
        <w:rPr>
          <w:b/>
        </w:rPr>
        <w:t>E. 3.4</w:t>
      </w:r>
    </w:p>
    <w:p>
      <w:r>
        <w:t>L'art. 303 ch. 1 al. 1 CP réprime le comportement de celui qui aura dénoncé à l'autorité, comme auteur d'un crime ou d'un délit, une personne qu'il savait innocente, en vue de faire ouvrir contre elle une poursuite pénale.![endif]&gt;![if&gt; Sur le plan objectif, une dénonciation n'est calomnieuse que si la personne mise en cause est innocente, en ce sens qu'elle n'a pas commis les faits qui lui sont faussement imputés, soit parce que ceux-ci ne se sont pas produits, soit parce qu'elle n'en est pas l'auteur.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 arrêt du Tribunal fédéral 6B_1003/2017 du 20 août 2018, consid. 4.2).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Par ailleurs, l'auteur doit agir en vue de faire ouvrir une poursuite pénale contre la personne qu'il accuse injustement. À cet égard, le dol éventuel suffit (arrêt du Tribunal fédéral 6B_324/2015 du 18 janvier 2016 consid. 2.1).</w:t>
      </w:r>
    </w:p>
    <w:p>
      <w:r>
        <w:rPr>
          <w:b/>
        </w:rPr>
        <w:t>E. 3.5</w:t>
      </w:r>
    </w:p>
    <w:p>
      <w:r>
        <w:t>En l'espèce, conformément aux principes sus-rappelés, l'infraction de dénonciation calomnieuse sera examinée en premier lieu.![endif]&gt;![if&gt; Lorsqu'il a déposé plainte, le mis en cause a déclaré soupçonner sa voisine, d'une part, car elle se plaignait que les motos n'avaient "rien à faire à ces places-là" , et, d'autre part, car son compagnon, parce qu'il était motard, avait les compétences pour retirer un pot d'échappement. Bien que les motifs invoqués par le mis en cause pour dénoncer les recourants paraissent légers et se sont révélés infondés, il n'existe pas de soupçons suffisants permettant de retenir que ce dernier, qui voulait que "ça s'arrête" , savait qu'il dénonçait des innocents. Aucun acte d'instruction ne paraît de nature à établir cet élément, et les recourants n'en proposent pas. Partant, l'infraction de dénonciation calomnieuse n'entre pas en ligne de compte. Pour les mêmes raisons, on ne saurait retenir que le recourant avait connaissance de la fausseté de ses accusations. Ainsi, l'infraction de calomnie n'apparaît pas réalisée. Toutefois, dans la mesure où le mis en cause laisse entendre que les recourants auraient agi de manière non conforme à la loi, ses propos pourraient tout de même être attentatoires à l'honneur (173 CP). Cela étant, il s'est contenté d'émettre une suspicion dans le but de faire cesser les dégradations matérielles dont son véhicule faisait l'objet depuis plusieurs mois; au surplus, ses propos ont été tenus uniquement dans le cadre d'une procédure pénale devant des personnes informées et conscientes des circonstances particulières dans lesquelles les allégations étaient formulées et soumises à une obligation de secret professionnel. Dans ces circonstances, les déclarations du mis en cause étaient pertinentes et proportionnées, si bien qu'elles ne peuvent être considérées comme attentatoires à l'honneur au sens de l'art. 173 CP, n'ayant pas excédé l'objet de la plainte, ni la mesure de l'admissible (art. 14 CP). En vertu de ce qui précède, les recours doivent être rejetés.</w:t>
      </w:r>
    </w:p>
    <w:p>
      <w:r>
        <w:rPr>
          <w:b/>
        </w:rPr>
        <w:t>E. 4</w:t>
      </w:r>
    </w:p>
    <w:p>
      <w:r>
        <w:t>Les recourants, qui succombent, supporteront les frais envers l'État, qui seront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