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P/9895/2020 vom 2. September 2020</w:t>
      </w:r>
    </w:p>
    <w:p>
      <w:r>
        <w:t>GE Cour de justice, 2020-09-02, FR</w:t>
      </w:r>
    </w:p>
    <w:p>
      <w:r>
        <w:rPr>
          <w:b/>
        </w:rPr>
        <w:t xml:space="preserve">Quelle: </w:t>
      </w:r>
      <w:r>
        <w:t>https://mcp.opencaselaw.ch/entscheid/ge_gerichte_P_9895_2020</w:t>
      </w:r>
    </w:p>
    <w:p>
      <w:r>
        <w:t>FR: GE_GERICHTE P/9895/2020 du 2 septembre 2020</w:t>
      </w:r>
    </w:p>
    <w:p>
      <w:r>
        <w:t>IT: GE_GERICHTE P/9895/2020 del 2 settembre 2020</w:t>
      </w:r>
    </w:p>
    <w:p>
      <w:pPr>
        <w:pStyle w:val="Heading2"/>
      </w:pPr>
      <w:r>
        <w:t>Regeste</w:t>
      </w:r>
    </w:p>
    <w:p>
      <w:r>
        <w:t>PLAINTE PÉNALE;DÉLAI;EMPÊCHEMENT(EN GÉNÉRAL) | CPP.310; CP.31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plaignants qui, parties à la procédure (art. 104 al. 1 let. b CPP), ont qualité pour agir, ayant un intérêt juridiquement protégé à la modification ou à l'annulation de la décision querellée (art. 382 al. 1 CPP).</w:t>
      </w:r>
    </w:p>
    <w:p>
      <w:r>
        <w:rPr>
          <w:b/>
        </w:rPr>
        <w:t>E. 2</w:t>
      </w:r>
    </w:p>
    <w:p>
      <w:r>
        <w:t>ème éd., Bâle 2019, n. 56 s.; L. MOREILLON / A. PAREIN-REYMOND, CPP, Code de procédure pénale , Bâle 2016, n. 1-2 ad art. 391). On a ainsi pu écrire que le pouvoir d'examen de l'autorité de recours est " presque discrétionnaire " (Y. JEANNERET / A. KUHN / C. PERRIER DEPEURSINGE (éds), op. cit. , n. 2 ad art. 391).</w:t>
      </w:r>
    </w:p>
    <w:p>
      <w:r>
        <w:rPr>
          <w:b/>
        </w:rPr>
        <w:t>E. 3</w:t>
      </w:r>
    </w:p>
    <w:p>
      <w:r>
        <w:t>Les recourants reprochent au Ministère public de ne pas être entré en matière sur leur plainte du 8 juin 2020.</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Une ordonnance de non-entrée en matière doit également être rendue lorsqu'il existe des empêchements de procéder (art. 310 al. 1 let. b CPP), par exemple lorsque l'action publique est prescrite (L. MOREILLON / A. PAREIN-REYMOND, op.cit , n. 13 ad art. 310) ou que le délai pour déposer plainte prévu par l'art. 31 CP n'a pas été respecté (arrêt du Tribunal fédéral 6B_848/2018 du 4 décembre 2018 consid. 1.5).</w:t>
      </w:r>
    </w:p>
    <w:p>
      <w:r>
        <w:rPr>
          <w:b/>
        </w:rPr>
        <w:t>E. 3.2</w:t>
      </w:r>
    </w:p>
    <w:p>
      <w:r>
        <w:t>Les infractions réprimées par l'art. 23 LCD sont punissables sur plainte préalable. La partie générale du CP est applicable (art. 331 al. 1 CP).</w:t>
      </w:r>
    </w:p>
    <w:p>
      <w:r>
        <w:rPr>
          <w:b/>
        </w:rPr>
        <w:t>E. 3.3</w:t>
      </w:r>
    </w:p>
    <w:p>
      <w:r>
        <w:t>Conformément à l'art. 31 CP, le droit de porter plainte se prescrit par trois mois.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6S.33/2007 du 20 avril 2007 consid. 5).</w:t>
      </w:r>
    </w:p>
    <w:p>
      <w:r>
        <w:rPr>
          <w:b/>
        </w:rPr>
        <w:t>E. 3.4</w:t>
      </w:r>
    </w:p>
    <w:p>
      <w:r>
        <w:t>En l'espèce, les actes que les recourants prétendent constitutifs d'infractions à la LCD ont été achevés au plus tard en juillet 2019, lorsqu'ils ont reçu les derniers documents de C_____ AG. Dès lors, leur plainte pénale du 8 juin 2020 s'avère tardive, et le Ministère public n'avait pas à entrer en matière. Dans son résultat, la décision querellée apparaît donc conforme au droit. Le recours doit être rejeté.</w:t>
      </w:r>
    </w:p>
    <w:p>
      <w:r>
        <w:rPr>
          <w:b/>
        </w:rPr>
        <w:t>E. 4</w:t>
      </w:r>
    </w:p>
    <w:p>
      <w:r>
        <w:t>La Chambre pénale de recours pouvait par conséquent décider d'emblée de le traiter sans échange d'écritures ni débats (art. 390 al. 2 et 5 a contrario CPP).</w:t>
      </w:r>
    </w:p>
    <w:p>
      <w:r>
        <w:rPr>
          <w:b/>
        </w:rPr>
        <w:t>E. 5</w:t>
      </w:r>
    </w:p>
    <w:p>
      <w:r>
        <w:t>Les recourants, qui succombent, supporteront, solidairement (art. 418 al. 2 CPP), les frais envers l'État,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