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P/9887/2018 vom 19. September 2018</w:t>
      </w:r>
    </w:p>
    <w:p>
      <w:r>
        <w:t>GE Cour de justice, 2018-09-19, FR</w:t>
      </w:r>
    </w:p>
    <w:p>
      <w:r>
        <w:rPr>
          <w:b/>
        </w:rPr>
        <w:t xml:space="preserve">Quelle: </w:t>
      </w:r>
      <w:r>
        <w:t>https://mcp.opencaselaw.ch/entscheid/ge_gerichte_P_9887_2018</w:t>
      </w:r>
    </w:p>
    <w:p>
      <w:r>
        <w:t>FR: GE_GERICHTE P/9887/2018 du 19 septembre 2018</w:t>
      </w:r>
    </w:p>
    <w:p>
      <w:r>
        <w:t>IT: GE_GERICHTE P/9887/2018 del 19 settembre 2018</w:t>
      </w:r>
    </w:p>
    <w:p>
      <w:pPr>
        <w:pStyle w:val="Heading2"/>
      </w:pPr>
      <w:r>
        <w:t>Regeste</w:t>
      </w:r>
    </w:p>
    <w:p>
      <w:r>
        <w:t>SÉQUESTRE(LP) ; VÉHICULE ; PROPORTIONNALITÉ ; MESURE PROVISIONNELLE | CPP.263; CPP.268; CP.71; CPP.266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 séquestre de son véhicule.</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ou qu'ils devront être confisqués (let. d).</w:t>
      </w:r>
    </w:p>
    <w:p>
      <w:r>
        <w:rPr>
          <w:b/>
        </w:rPr>
        <w:t>E. 2.2</w:t>
      </w:r>
    </w:p>
    <w:p>
      <w:r>
        <w:t>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 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Le principe de proportionnalité entre aussi en ligne de compte lorsqu'il s'agit de déterminer la valeur des biens à mettre sous séquestre (cf. le Message, p. 1229); sous cet angle, le respect de ce principe se limite pour l'essentiel à la garantie du minimum vital (arrêt du Tribunal fédéral 1P.21/2007 du 2 mai 2007; ATF 106 III 107 ). Quant au montant définitif des frais judiciaires, il ne sera connu qu'à l'issue de la procédure et le principe de proportionnalité n'est violé que si le montant saisi en garantie des coûts de procédure est manifestement disproportionné par rapport aux coûts estimés (arrêts du Tribunal fédéral 1B_379/2013 du 6 décembre 2013 consid. 2.3.3; 1B_274/2012 du 11 juillet 2012 consid. 3.1).</w:t>
      </w:r>
    </w:p>
    <w:p>
      <w:r>
        <w:rPr>
          <w:b/>
        </w:rPr>
        <w:t>E. 2.3</w:t>
      </w:r>
    </w:p>
    <w:p>
      <w:r>
        <w:t>L'art. 263 al. 1 let. d CPP est respecté lorsque la saisie porte sur des 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Le séquestre peut être maintenu tant que subsiste la probabilité d'une confiscation (arrêt 1B_326/2013 du 6 mars 2014 consid. 4.1.1 destiné à la publication). À teneur de l'art. 71 al. 1 CP,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p. 63 et suivantes). Les prétentions ayant pour objet une somme d’argent ou des sûretés sont exécutées en application de la LP, qu’elles soient fondées sur le droit privé ou le droit public (art. 38 LP; entre autres: ATF 137 II 17 consid. 2.6; 134 I 293 consid. 3.2; 115 III 1 c. 3 in initio; arrêt du Tribunal fédéral 5D_106/2014 du 24 septembre 2014 consid. 6.2). La LP, qui consacre le principe de l’égalité des créanciers, ne reconnaît en principe aucun privilège aux créanciers de prétentions fondées sur le droit public (ATF 134 III 37 consid. 4.1; 107 III 113 consid. 2; 78 I 215 [220]). Contrairement à la clause générale de l'art. 44 LP en rapport avec les créances fondées sur le droit pénal, l'art. 71 al. 3 CP constitue une loi spéciale, qui prescrit que le séquestre en vue de l'exécution de la créance compensatrice ne crée pas de droit de préférence en faveur de l’État lors de l’exécution forcée de la créance compensatrice (SJ 2016 I p. 159; A. STAEHELIN / T. BAUER / D. STAEHELIN, Art. 1-158 SchKG I Bundes gesetz über Schuldbetreibung und Konkurs , Vol. I, 2ème éd., Bâle 2010, n. 3 ad art. 44 LP).</w:t>
      </w:r>
    </w:p>
    <w:p>
      <w:r>
        <w:rPr>
          <w:b/>
        </w:rPr>
        <w:t>E. 2.4</w:t>
      </w:r>
    </w:p>
    <w:p>
      <w:r>
        <w:t>Selon l’art. 266 al. 5 CPP, les objets sujets à une dépréciation rapide ou à un entretien dispendieux peuvent être réalisés immédiatement, et leur produit séquestré. La réalisation anticipée tend, dans l’intérêt du prévenu comme dans celui de l’autorité, à obtenir une valeur de remplacement qui, le moment venu, pourra être restituée ou confisquée (SJ 2005 I 190, consid. 14.2. p. 191 non publié aux ATF 130 I 360 ). Savoir si un entretien est onéreux dépend du rapport entre la valeur du bien séquestré et le montant des dépenses d'entretien, en tenant compte de la durée probable de celui-ci (cf. ATF 111 IV 41 consid. 3 p. 43). Les frais d'entretien ou de dépôt sont qualifiés de dispendieux s'ils apparaissent disproportionnés par rapport à la valeur des biens saisis. Il peut en aller ainsi d’un véhicule de valeur modeste, dont les frais d’entreposage sont élevés (N. SCHMID, Schweizerische Strafprozessordnung : Praxiskommentar , Zurich, 2 e éd. 2013, n. 8 ad art. 266). 2.5.1. En l'espèce, le Ministère public prétend que le véhicule est susceptible d'être utilisé comme moyen de preuve. À tort. On ne voit en effet pas en quoi le séquestre serait utile à la manifestation de la vérité dans une affaire d'escroquerie aux assurances sociales, l'acquisition du véhicule étant bien antérieure à la période pénale considérée aux dires du recourant, ce que le Ministère public ne conteste pas. Il en résulte que le séquestre du véhicule à des fins probatoires n'est pas fondé. 2.5.2. Reste à savoir si un séquestre en vue de l'exécution d'une créance compensatrice ou un séquestre en couverture des frais est justifié, dès lors qu'il n'est pas allégué que la voiture a été acquise avec le produit d'une infraction et qu'il s'agit donc d'un bien d'origine licite. En l'occurrence, bien que le recourant ne documente pas ses affirmations sur l'ancienneté du véhicule séquestré et sur son kilométrage élevé – lesquelles ne sont au demeurant pas contestées par le Ministère public –, il est notoire que le modèle C______ date des années 1987-1995 (https://www______) et n'est plus coté à l'argus. En outre, il est tout aussi notoire qu'une vente d'un véhicule issu de la fourrière rapporte une proportion infime de la valeur réelle. Par conséquent, l'expectative de gain, à la suite de la réalisation de la voiture, est à ce point réduite, qu'elle n'en justifie pas la conservation, aux frais de l'État, jusqu'à l'issue de la procédure. Le séquestre est disproportionné et donc injustifié.</w:t>
      </w:r>
    </w:p>
    <w:p>
      <w:r>
        <w:rPr>
          <w:b/>
        </w:rPr>
        <w:t>E. 3</w:t>
      </w:r>
    </w:p>
    <w:p>
      <w:r>
        <w:t>Conformément à l'art. 421 al. 2 let. c CPP, la Chambre de céans peut statuer sur les frais de manière anticipée à l'occasion d'un recours portant sur une décision intermédiaire. Le présent recours porte sur une décision, soit une ordonnance de séquestre. La Chambre de céans peut donc statuer de manière anticipée sur les frais. Ainsi que le demande le recourant, les frais occasionnés par la mise en fourrière injustifiée ne seront pas mis à sa charge, ni à celle de tout ayant droit qui viendrait reprendre possession de la voiture à la fourrière.</w:t>
      </w:r>
    </w:p>
    <w:p>
      <w:r>
        <w:rPr>
          <w:b/>
        </w:rPr>
        <w:t>E. 4</w:t>
      </w:r>
    </w:p>
    <w:p>
      <w:r>
        <w:t>Fondé, le recours doit être admis; partant, l'ordonnance querellée sera annulée et le séquestre immédiatement levé.</w:t>
      </w:r>
    </w:p>
    <w:p>
      <w:r>
        <w:rPr>
          <w:b/>
        </w:rPr>
        <w:t>E. 5</w:t>
      </w:r>
    </w:p>
    <w:p>
      <w:r>
        <w:t>L'admission du recours ne donne pas lieu à la perception de frais (art. 428 al. 1 CPP).</w:t>
      </w:r>
    </w:p>
    <w:p>
      <w:r>
        <w:rPr>
          <w:b/>
        </w:rPr>
        <w:t>E. 6</w:t>
      </w:r>
    </w:p>
    <w:p>
      <w:r>
        <w:t>Le recourant est assisté d'un avocat d'office et la présente décision n'est pas une décision au fond (art. 135 al. 2 CPP), de sorte qu'il n'y a pas lieu à indemnisation à ce stade.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