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P/9882/2022 vom 6. Mai 2022</w:t>
      </w:r>
    </w:p>
    <w:p>
      <w:r>
        <w:t>GE Cour de justice, 2022-05-06, FR</w:t>
      </w:r>
    </w:p>
    <w:p>
      <w:r>
        <w:rPr>
          <w:b/>
        </w:rPr>
        <w:t xml:space="preserve">Quelle: </w:t>
      </w:r>
      <w:r>
        <w:t>https://mcp.opencaselaw.ch/entscheid/ge_gerichte_P_9882_2022</w:t>
      </w:r>
    </w:p>
    <w:p>
      <w:r>
        <w:t>FR: GE_GERICHTE P/9882/2022 du 6 mai 2022</w:t>
      </w:r>
    </w:p>
    <w:p>
      <w:r>
        <w:t>IT: GE_GERICHTE P/9882/2022 del 6 maggio 2022</w:t>
      </w:r>
    </w:p>
    <w:p>
      <w:pPr>
        <w:pStyle w:val="Heading2"/>
      </w:pPr>
      <w:r>
        <w:t>Regeste</w:t>
      </w:r>
    </w:p>
    <w:p>
      <w:r>
        <w:t>DÉTENTION PROVISOIRE;HOMICIDE PAR NÉGLIGENCE;RISQUE DE COLLUSION;RISQUE DE RÉCIDIVE;MESURE DE SUBSTITUTION À LA DÉTENTION | CP.117; LCR.90.al2; LCR.93.al2.leta;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ne contestant pas les charges, il n'y a pas à s'y attarder. Il peut être renvoyé, en tant que de besoin, à la motivation adoptée par le premier juge (art 82 al. 4 CPP; ACPR/747/2020 du 22 octobre 2020 consid. 2 et les références), qui expose les indices graves pesant sur le prévenu.![endif]&gt;![if&gt;</w:t>
      </w:r>
    </w:p>
    <w:p>
      <w:r>
        <w:rPr>
          <w:b/>
        </w:rPr>
        <w:t>E. 3</w:t>
      </w:r>
    </w:p>
    <w:p>
      <w:r>
        <w:t>Le recourant invoque une violation de son droit d'être entendu et un déni de justice.![endif]&gt;![if&gt;</w:t>
      </w:r>
    </w:p>
    <w:p>
      <w:r>
        <w:rPr>
          <w:b/>
        </w:rPr>
        <w:t>E. 3.1</w:t>
      </w:r>
    </w:p>
    <w:p>
      <w:r>
        <w:t>À teneur de l'art. 29 Cst, toute personne a droit, dans une procédure judiciaire ou administrative, à ce que sa cause soit traitée équitablement et jugée dans un délai raisonnable (al. 1). Les parties ont le droit d’être entendues (al. 2).</w:t>
      </w:r>
    </w:p>
    <w:p>
      <w:r>
        <w:rPr>
          <w:b/>
        </w:rPr>
        <w:t>E. 3.2</w:t>
      </w:r>
    </w:p>
    <w:p>
      <w:r>
        <w:t>En l'espèce, le recourant s'en prend, en premier lieu, au Ministère public au motif que la requête de mise en détention provisoire avait été rédigée avant l'audition du 6 mai 2022 et qu'il n'avait pas été en mesure d'exposer ses propositions de mesures de substitution. Il semble oublier que la décision de mise en détention provisoire a été prononcée par le TMC et non par le Ministère public, qui l'a simplement demandée. Au demeurant, la Procureure a expliqué dans quelles circonstances le document contenant la requête avait été préparé le 5 mai 2022. Le procès-verbal d'audition devant le Ministère public mentionne en outre la proposition de mesures de substitution et le recourant a pu faire valoir ses arguments devant le TMC. On ne constate dès lors pas de violation de son droit d'être entendu ni de déni de justice. Le recourant critique ensuite l'absence de motivation propre du TMC. S'il n'est effectivement pas admissible que le juge de la détention se borne à recopier dans sa décision les arguments du Ministère public sans discuter ceux du prévenu – comme la Chambre de céans a déjà eu l'occasion de le préciser ( ACPR/930/2020 du 21 décembre 2020 consid. 3.2) –, la décision querellée est ici motivée, le juge ayant dit qu'il ne pouvait se contenter de l'engagement du prévenu de ne pas contacter les personnes mêlées à la procédure. Le recourant a d'ailleurs pu former recours avec succès, de sorte que le grief de violation du droit d'être entendu sera rejeté.</w:t>
      </w:r>
    </w:p>
    <w:p>
      <w:r>
        <w:rPr>
          <w:b/>
        </w:rPr>
        <w:t>E. 4</w:t>
      </w:r>
    </w:p>
    <w:p>
      <w:r>
        <w:t>Le recourant conteste l'existence d'un risque de collusion.![endif]&gt;![if&gt;</w:t>
      </w:r>
    </w:p>
    <w:p>
      <w:r>
        <w:rPr>
          <w:b/>
        </w:rPr>
        <w:t>E. 4.1</w:t>
      </w:r>
    </w:p>
    <w:p>
      <w:r>
        <w:t>Conformément à l'art. 221 al. 1 let. b CPP, il existe un risque de collusion lorsqu'il y a sérieusement lieu de craindre que le prévenu compromette la recherche de la vérité en exerçant une influence sur des personnes ou en altérant des moyens de preuve. Pour retenir l'existence d'un tel risque,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si le recourant n'est pas en mesure de se déterminer sur les causes de l'accident, n'ayant conservé aucun souvenir au-delà de la route qui monte et de l'éventuelle courbe, il ne conteste pas pour autant les éléments au dossier ni les déclarations de E______, concédant même que si celle-ci avait constaté qu'il roulait vite, elle devait avoir raison. On ne saurait retenir un risque de collusion avec des témoins non identifiés, sauf à présumer qu'ils feraient partie de l'entourage du recourant ou qu'il les connaîtrait, ce qui n'est ni plausible au vu des événements ni allégué par les autorités précédentes. Le TMC et le Ministère public craignent que le recourant n'influence les déclarations des personnes impliquées dans l'accident et du témoin, mais on ne voit pas comment il pourrait tenter de faire prévaloir une autre version alors que, faute de souvenirs, il n'en a aucune. Il s'ensuit que le risque – abstrait – de collusion ne justifie ici pas la mise en détention provisoire du recourant.</w:t>
      </w:r>
    </w:p>
    <w:p>
      <w:r>
        <w:rPr>
          <w:b/>
        </w:rPr>
        <w:t>E. 5</w:t>
      </w:r>
    </w:p>
    <w:p>
      <w:r>
        <w:t>Le recourant conteste également tout risque de réitération.![endif]&gt;![if&gt;</w:t>
      </w:r>
    </w:p>
    <w:p>
      <w:r>
        <w:rPr>
          <w:b/>
        </w:rPr>
        <w:t>E. 5.1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3-4).![endif]&gt;![if&gt;</w:t>
      </w:r>
    </w:p>
    <w:p>
      <w:r>
        <w:rPr>
          <w:b/>
        </w:rPr>
        <w:t>E. 5.2</w:t>
      </w:r>
    </w:p>
    <w:p>
      <w:r>
        <w:t>En l'espèce, le comportement reproché au recourant est grave, eu égard à son état d'alcoolémie qualifié, la vitesse excessive et inadaptée aux conditions de la chaussée, ainsi que l'état des pneus du véhicule. Malgré une précédente condamnation, en 2016, pour conduite en état d'ébriété qualifié, le recourant n'a pas hésité, le jour des faits, à prendre le volant d'un véhicule puissant, dont il savait que les pneus avant ne correspondaient plus aux normes de sécurité, alors que lui-même souffrait d'une dépendance à l'alcool et avait de surcroît consommé plusieurs verres de whisky dans les heures et minutes précédant la conduite. Ce seul antécédent, même vieux de cinq ans, suffit donc pour retenir un risque patent de réitération, compte tenu de la persistance avec laquelle le recourant a conduit nonobstant sa dépendance à l'alcool – voire à d'autres substances –, en mettant ainsi en danger la vie de tiers.![endif]&gt;![if&gt;</w:t>
      </w:r>
    </w:p>
    <w:p>
      <w:r>
        <w:rPr>
          <w:b/>
        </w:rPr>
        <w:t>E. 6</w:t>
      </w:r>
    </w:p>
    <w:p>
      <w:r>
        <w:t>Le recourant propose des mesures de substitution.![endif]&gt;![if&gt;</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 notamment " l'obligation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4.2).![endif]&gt;![if&gt;</w:t>
      </w:r>
    </w:p>
    <w:p>
      <w:r>
        <w:rPr>
          <w:b/>
        </w:rPr>
        <w:t>E. 6.2</w:t>
      </w:r>
    </w:p>
    <w:p>
      <w:r>
        <w:t>En l'espèce, la proposition du recourant d'entrer volontairement au service psychiatrique des HUG, en raison de la situation de désarroi dans laquelle il se trouve, n'est pas de nature à pallier le risque de réitération, d'une part, car elle repose sur sa seule volonté, d'autre part, car cette hospitalisation, ponctuelle, n'est pas propre, au moment de la sortie, à garantir que le recourant ne reprendra pas le volant en état d'ébriété.![endif]&gt;![if&gt; Cela étant, d'autres mesures sont aptes à pallier ce risque, soit : l'interdiction de conduire tout véhicule à moteur ( ACPR/549/2016 du 1 er septembre 2016) ; le dépôt du permis de conduire en mains du Ministère public ; l'interdiction de consommer de l'alcool et des stupéfiants ; l'obligation de suivre un traitement pour soigner ses addictions (alcool, cocaïne et cannabis), qui sera déterminé par le Service de probation et d'insertion (ci-après : SPI); la prise en charge par le SPI dès la sortie de prison ; l'obligation de se soumettre, une fois par mois durant les trois premiers mois, puis aux échéances déterminées par le SPI, à des analyses médicales (sang, urine et/ou cheveux) dans le but de vérifier l'abstinence aux substances précitées ; l'obligation de produire en mains du SPI chaque mois – puis selon les échéances déterminées par celui-ci – un certificat attestant de la régularité du suivi psychiatrique/thérapeutique et des contrôles d'abstinence ; l'obligation de suivre les règles ordonnées par le SPI. Ces mesures, qui paraissent aptes et adéquates à diminuer le risque de réitération seront ainsi ordonnées et le recourant y sera astreint. Les mesures de substitution précitées portant atteinte à la liberté personnelle du recourant et à ses droits fondamentaux, elles seront soumises à un contrôle périodique et prononcées pour une durée de 6 mois, étant précisé que le recourant peut en tout temps requérir leur révocation ou modification.</w:t>
      </w:r>
    </w:p>
    <w:p>
      <w:r>
        <w:rPr>
          <w:b/>
        </w:rPr>
        <w:t>E. 7</w:t>
      </w:r>
    </w:p>
    <w:p>
      <w:r>
        <w:t>Fondé, le recours sera dès lors admis et les mesures de substitution précitées, ordonnées.![endif]&gt;![if&gt;</w:t>
      </w:r>
    </w:p>
    <w:p>
      <w:r>
        <w:rPr>
          <w:b/>
        </w:rPr>
        <w:t>E. 8</w:t>
      </w:r>
    </w:p>
    <w:p>
      <w:r>
        <w:t>Les frais de l'instance de recours seront laissés à la charge de l'État.![endif]&gt;![if&gt;</w:t>
      </w:r>
    </w:p>
    <w:p>
      <w:r>
        <w:rPr>
          <w:b/>
        </w:rPr>
        <w:t>E. 9</w:t>
      </w:r>
    </w:p>
    <w:p>
      <w:r>
        <w:t>Le recourant, qui est soumis à une défense obligatoire et semble, à teneur du dossier, avoir désigné un avocat de choix, allègue son impécuniosité pour demander l'extension de la " défense d'office " au recours et sollicite une indemnité de procédure de CHF 861.60 TTC pour le recours. Il ne ressort toutefois pas du dossier que le recourant serait au bénéfice d'une défense d'office en raison de son indigence (art. 132 al. 1 let. b CPP), aucune décision n'ayant été rendue à cet égard par le Ministère public.![endif]&gt;![if&gt; En l'état, l'indemnité précitée, qui paraît adéquate au vu de l'activité déployée devant l'autorité de recours, sera donc accordée au recourant conformément à l'art.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