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P/9876/2019 vom 16. November 2021</w:t>
      </w:r>
    </w:p>
    <w:p>
      <w:r>
        <w:t>GE Cour de justice, 2021-11-16, FR</w:t>
      </w:r>
    </w:p>
    <w:p>
      <w:r>
        <w:rPr>
          <w:b/>
        </w:rPr>
        <w:t xml:space="preserve">Quelle: </w:t>
      </w:r>
      <w:r>
        <w:t>https://mcp.opencaselaw.ch/entscheid/ge_gerichte_P_9876_2019</w:t>
      </w:r>
    </w:p>
    <w:p>
      <w:r>
        <w:t>FR: GE_GERICHTE P/9876/2019 du 16 novembre 2021</w:t>
      </w:r>
    </w:p>
    <w:p>
      <w:r>
        <w:t>IT: GE_GERICHTE P/9876/2019 del 16 novembre 2021</w:t>
      </w:r>
    </w:p>
    <w:p>
      <w:pPr>
        <w:pStyle w:val="Heading2"/>
      </w:pPr>
      <w:r>
        <w:t>Regeste</w:t>
      </w:r>
    </w:p>
    <w:p>
      <w:r>
        <w:t>PAR MÉTIER;VOL(DROIT PÉNAL);DÉTENTION ILLICITE;TORT MORAL | CP.139.ch1; CP.139.ch3; CPP.404.al2; CPP.431.al1; LEI.115.al1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L’acte d’accusation ne retenait pas que l’appelant avait agi avec un ou plusieurs tiers au préjudice de la partie plaignante H______, raison pour laquelle seule la qualification juridique de vol simple était proposée. C’est ainsi manifestement par mégarde que la première juge a retenu l’aggravante de la bande pour toutes les occurrences retenues, y compris celle-ci. Le jugement sera rectifié d’office, en faveur du prévenu (art. 404 al. 2 CPP). Pour le surplus, la culpabilité de l’intéressé est à juste titre non contestée.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Dans le cadre de l'art. 47 CP, le juge peut prendre en compte à titre d'antécédents des actes punissables qui n'ont pas (encore) été punis, pour autant que les faits soient établis (cf. arrêts du Tribunal fédéral 6B_1457/2020 du 15 avril 2021 consid. 1.4).</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3.4</w:t>
      </w:r>
    </w:p>
    <w:p>
      <w:r>
        <w:t>Le vol simple est passible d’une peine privative de liberté de cinq ans au plus ou d’une peine pécuniaire, tandis que la sanction est une peine privative de liberté de six mois au moins, dix ans au plus, en cas de vol avec la circonstance aggravante de la bande (art. 139 ch. 1 et 3 CP), étant rappelé qu’en cas de tentative, le juge peut atténuer la peine (art. 22 al. 1 CP). L’infraction de dommages à la propriété et celle de violation de domicile sont toutes deux passibles d’une peine privative de liberté de trois ans ou plus ou d’une peine pécuniaire et l’entrée illégale en suisse d’une peine privative de liberté d’un an au plus ou d’une peine pécuniaire (art. 115 al. 1 LEI).</w:t>
      </w:r>
    </w:p>
    <w:p>
      <w:r>
        <w:rPr>
          <w:b/>
        </w:rPr>
        <w:t>E. 3.5</w:t>
      </w:r>
    </w:p>
    <w:p>
      <w:r>
        <w:t>La faute de l’appelant a été à raison qualifiée de grave par la première juge. En l’espace de deux ans il s’est rendu à réitérées reprises en Suisse, contrevenant ce faisant aux dispositions sur l’entrée des étrangers, dans le seul but d’y commettre des cambriolages. Sur les huit occurrences, six ont été intégralement achevées, deux s’étant soldées par un échec, non un désistement actif. A chaque fois sauf, apparemment, une, l’appelant a agi avec un ou deux comparses, les éléments de fait retenus et non contestés faisant que la circonstance aggravante de la bande a été admise et retenue. Certes, comme l’appelant le fait valoir, le modus operandi n’était pas particulièrement sophistiqué mais cela est assez usuel, s’agissant de cambriolages dans des logements d’habitation. Cela étant, il est établi qu’un véhicule avait été acquis pour la dernière incursion (trois occurrences) et les explications de l’intéressé selon lesquelles il venait en Suisse en train, ce qui impliquerait un risque de contrôle en gare de Genève, ne sont guère crédibles. Elles le sont d’autant moins que les faits du 23 décembre 2018 ont été commis à Y______, une commune éloignée de la gare et décentrée. En tout état, le simple fait de se rendre en Suisse depuis AA_____[France] pour y commettre des cambriolages implique déjà une organisation, notamment des préparatifs, outre une forte détermination. Celle-ci était d’autant plus importante qu’entre chaque incursion, l’intéressé est rentré en France, où il a bradé son butin, avant de revenir, renouvelant de la sorte à chaque fois sa décision de passer à l’acte. Il n’est pas non plus plausible qu’aucun outil n’ait été utilisé, étant du reste rappelé que la voiture acquise aux fins de cambrioler en contenait une caisse pleine. Le modus operandi choisi était par ailleurs particulièrement irrespectueux des lésés, vu les dégâts causés. Quoi qu’en dise l’appelant, le mobile était bien celui, égoïste, de l’appât du gain, au détriment de la valeur réelle des objets vendus à vil prix au marché noir, sans parler de leur valeur affective. Il faut en revanche lui concéder que passées certaines dénégations initiales, l’appelant a aisément reconnu les occurrences reprochées et donné des détails, notamment s’agissant de la participation de tiers ou de l’acquisition de la voiture à des fins délictuelles, même s’il s’était préalablement vu signifier que ses traces l’incriminaient et si tous ses dires ne sont pas crédibles, comme déjà développé. La collaboration peut donc être qualifiée de contrastée. L’appelant a paru assez sincère dans ses regrets, quoique autocentrés, et dans son désir de s’en sortir. Il reste cependant qu’il ne paraît pas avoir pris la mesure de ce qu’en restant en Europe, il continuera de se heurter aux difficultés découlant de son absence de statut légal. La prise de conscience est ainsi seulement débutée. Le, encore court, parcours de vie de l’appelant a sans doute été éprouvant. Néanmoins, les infractions objet de la présente procédure ne sont pas les premières qu’il commet. Il a déjà été condamné à de multiples reprises en France et a subi plusieurs périodes de détention dont il ne semble pas avoir tiré leçon, ni d’autre profit que celui d’avoir rencontré son comparse O______, alors qu’il aurait pu et dû avoir recours aux services sociaux, quitte à se résigner à le faire pour organiser son rapatriement. En application de l’art. 49 al. 1 CP et vu la gravité de la faute et les autres circonstances qui viennent d’être évoquées, il convient d’infliger à l’appelant une peine d’au moins sept mois pour le premier vol en bande, infraction la plus grave, puis d’au moins trois mois chacune pour les quatre autres occurrences achevées (peine hypothétique : au moins six mois), de quatre mois pour le vol simple (peine hypothétique : six mois), ce qui conduit déjà à un total de 23 mois. Dès lors que les autres infractions commises (huit dommages à la propriété et huit violations de domiciles, deux vols en bande inachevés et les entrées illégales) appellent manfiestement une sanction de plus d’un mois, la peine de 24 mois fixée par la première juge n’apparaît en tout cas pas trop sévère et doit donc être confirmée, d’où le rejet de l’appel sur ce point.</w:t>
      </w:r>
    </w:p>
    <w:p>
      <w:r>
        <w:rPr>
          <w:b/>
        </w:rPr>
        <w:t>E. 4</w:t>
      </w:r>
    </w:p>
    <w:p>
      <w:r>
        <w:t>4.1. 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(ATF 142 IV 245 consid. 4.1 p. 248 et les références ; 141 IV 349 consid. 2.1 p. 352). Une telle décision vaut notamment lorsque les conditions de détention provisoire illicites sont invoquées devant le juge de la détention, soit le TMC (art. 18 al. 1 CPP ; ATF 142 IV 245 consid. 4.1 p. 248 ; 140 I 125 consid. 2.1 p. 128). A un tel stade de la procédure, seul un constat peut donc en principe intervenir et celui-ci n'a pas pour conséquence la remise en liberté du prévenu. Ce n'est qu'à l'issue de la procédure qu'il y aura lieu de tirer les conséquences d'une telle constatation (cf. les art. 429 ss CPP). Il appartient ensuite à l'autorité de jugement d'examiner les possibles conséquences des violations constatées, par exemple par le biais d'une indemnisation fondée sur l'art. 431 CPP ou, cas échéant, par une réduction de la peine (ATF 142 IV 245 consid. 4.1 p. 248 et les références ; arrêts du Tribunal fédéral 6B_352/2018 du 27 juillet 2018 consid. 6.5.1 ; 6B_1395/2016 du 27 octobre 2017 consid. 1.1 ; 6B_335/2016 du 24 janvier 2017 consid. 3.3.4.2), référence étant ici faite aux principes applicables en matière de violation du principe de la célérité (ATF 142 IV 245 consid. 4.1 ; 141 IV 349 consid. 2.1 p. 352 et les références ; 140 IV 125 consid. 2.1 p. 128 ; 133 IV 158 consid. 8 p. 170 ; arrêts du Tribunal fédéral 6B_1243/2016 du 13 décembre 2016 consid. 1.1 et 1.2 ; 6B_1314/2015 du 10 octobre 2016 consid. 4.1). Au vu de la gravité inhérente à toute violation de l'art. 3 CEDH, un simple constat de violation par le juge du fond n'est en principe pas suffisant (ATF 140 I 246 consid. 2.5. p. 251 ; arrêt du Tribunal fédéral 6B_1243/2016 du 13 décembre 2016 consid. 1.1). L'indemnisation en raison des conditions de détention illicites fait appel au pouvoir d'appréciation du juge (ATF 142 IV 245 consid. 4.1). L'ampleur de la réparation dépend avant tout de l'appréciation concrète des circonstances particulières de l'espèce, en particulier de la gravité des souffrances physiques ou psychiques consécutives à l'atteinte subie (arrêts du Tribunal fédéral 6B_458/2019 du 23 mai 2019 consid. 7.1 ; 6B_1015/2016 du 27 octobre 2017 consid. 7.2 et les références citées). En matière de réparation, des réductions de peine correspondant à un quart, un tiers, voire à la moitié du nombre de jours d'incarcération dans des conditions illicites sont admises en jurisprudence. La jurisprudence européenne considère d'ailleurs adéquate une réduction de peine égale à un jour pour chaque période de dix jours de détention incompatible avec l'art. 3 CEDH (arrêt CourEDH Stella et autres c. Italie du 16 septembre 2014 [requête n. 49169/09] § 58 ss). L'ampleur de la réparation dépend essentiellement des circonstances concrètes de l'affaire. En outre, le fait que, dans certains cas, des réductions proportionnelles d'un tiers ou de la moitié des jours passés dans des conditions de détention illicites aient été avalisées ne signifie aucunement que, dans ces cas, une réduction moins importante n'aurait pas été acceptable (cf. arrêt du Tribunal fédéral 6B_458/2019 précité consid. 7.3 et les références citées).</w:t>
      </w:r>
    </w:p>
    <w:p>
      <w:r>
        <w:rPr>
          <w:b/>
        </w:rPr>
        <w:t>E. 4.2</w:t>
      </w:r>
    </w:p>
    <w:p>
      <w:r>
        <w:t>Se référant à la jurisprudence du Tribunal fédéral relative aux conditions de détention à l’Hôtel de police de E______[VD] prévalant en 2012, l’appelant requiert une déduction plus importante sur sa peine que les quatre jours qu’il y a passés. Au-delà de ce renvoi abstrait à la casuistique, il ne donne aucune indication sur le déroulement concret de son propre séjour à l’Hôtel de police et les souffrances particulières qu’il en aurait ressenties. L’argument du MP selon lequel il lui aurait appartenu de requérir du TMC un constat du caractère indigne de la détention ne saurait être suivi, dès lors que le juge du fond, qui dispose d’un plein pouvoir de cognition, peut parfaitement instruire la question ( AARP/242/2015 consid. 5.2). Cela étant, la détention en cause n’a duré que quatre jours, soit moins que les dix jours permettant une réduction d’un jour selon la jurisprudence de la Cour européenne des droits de l’homme. Le fait que l’appelant n’ait donné aucune explication concrète, même vague, pour illustrer ses prétentions, conforte dans l’idée que les conditions de sa détention n’ont pas été inacceptables, parce que la durée et partant l’intensité de l’atteinte n’a pas été suffisante. Dès lors, il n’y a en l’espèce pas matière à déduction sur la peine. L’appel est rejeté sur ce point également.</w:t>
      </w:r>
    </w:p>
    <w:p>
      <w:r>
        <w:rPr>
          <w:b/>
        </w:rPr>
        <w:t>E. 5</w:t>
      </w:r>
    </w:p>
    <w:p>
      <w:r>
        <w:t>A raison, l’appelant ne s’oppose pas au prononcé de son expulsion, laquelle est obligatoire vu les infractions commises (art. 66a al. 1 let. d CP), pas plus qu’à l’inscription dans le registre SIS, étant rappelé qu’il est déjà l’objet d’un signalement identique en France où il a sévi à des multiples reprises.</w:t>
      </w:r>
    </w:p>
    <w:p>
      <w:r>
        <w:rPr>
          <w:b/>
        </w:rPr>
        <w:t>E. 6</w:t>
      </w:r>
    </w:p>
    <w:p>
      <w:r>
        <w:t>L'appelant, qui succombe, supportera les frais de la procédure envers l'Etat, comprenant un émolument d’arrêt de CHF 1'500.- (art. 428 al. 1 CPP et art. 14 al. 1 let. e du Règlement fixant le tarif des frais en matière pénale [RTFMP])</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Ce forfait couvre notamment la rédaction de la déclaration d’appel ou d’appel joint, qui, sous l’angle de l’exigence de nécessité, peut consister en une simple lettre, n’ayant pas à être motivée, à rigueur de loi (ordonnance de la Cour des plaintes du Tribunal pénal fédéral BB.2014.51 du 21 novembre 2014 consid. 2.1 ; décisions de la Cour des plaintes du Tribunal pénal fédéral BB.2013.165 du 24 janvier 2014 consid. 4.1.3 et BB.2013.127 du 4 décembre 2013 consid. 4.2 ; AARP/133/2015 du 3 mars 2015). 7.1.3.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7.2</w:t>
      </w:r>
    </w:p>
    <w:p>
      <w:r>
        <w:t>Vu les principes qui précèdent, les postes de l’état de frais du défenseur d’office pour la rédaction ou réception de courriers et du jugement ainsi que les entretiens téléphoniques ne seront pas pris en considération, étant couverts par le forfait de, in casu , 20%. Il en va de même du temps, par ailleurs très excessif, consacré à la rédaction de la déclaration d’appel motivée. Le dossier était peu volumineux, censé connu de l’avocate-stagiaire qui venait de le plaider en première instance, et l’objet de l’appel était limité. Dans ces circonstances, trois heures seront tenues pour amplement suffisantes à la préparation des débats d’appel, auxquelles il conviendra d’ajouter la durée de l’audience (1 heure) ainsi que celle de l’entretien à la prison (1 heure et 10 minutes), et le forfait (CHF 113.60). Il conviendra en outre d’allouer une indemnité de CHF 165.- (soit 3 heures au tarif de CHF 110.- ÷ 2) pour les déplacements à la prison et à Genève depuis E______[VD] (par analogie avec la couverture des déplacements à l’intérieur de Genève) et l’aller-retour en train, l’avocat ayant annoncé que sa collaboratrice viendrait à l’audience par ce moyen, soit CHF 25.40, enfin la TVA au taux de 7.7% (CHF 67.10). En conclusion, la rémunération sera arrêtée à CHF 939.10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