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P/9868/2019 vom 23. Januar 2020</w:t>
      </w:r>
    </w:p>
    <w:p>
      <w:r>
        <w:t>GE Cour de justice, 2020-01-23, FR</w:t>
      </w:r>
    </w:p>
    <w:p>
      <w:r>
        <w:rPr>
          <w:b/>
        </w:rPr>
        <w:t xml:space="preserve">Quelle: </w:t>
      </w:r>
      <w:r>
        <w:t>https://mcp.opencaselaw.ch/entscheid/ge_gerichte_P_9868_2019</w:t>
      </w:r>
    </w:p>
    <w:p>
      <w:r>
        <w:t>FR: GE_GERICHTE P/9868/2019 du 23 janvier 2020</w:t>
      </w:r>
    </w:p>
    <w:p>
      <w:r>
        <w:t>IT: GE_GERICHTE P/9868/2019 del 23 gennaio 2020</w:t>
      </w:r>
    </w:p>
    <w:p>
      <w:pPr>
        <w:pStyle w:val="Heading2"/>
      </w:pPr>
      <w:r>
        <w:t>Regeste</w:t>
      </w:r>
    </w:p>
    <w:p>
      <w:r>
        <w:t>MAISON ;INFRACTIONS CONTRE LE PATRIMOINE;FIXATION DE LA PEINE;IMPUTATION | CP.139.al1; CP.186; CP.49.al1; CP.49.al2; CP.51</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1.2</w:t>
      </w:r>
    </w:p>
    <w:p>
      <w:r>
        <w:t>L'appel du MP ayant partiellement été admis, 3/4 des frais de la procédure d'appel seront mis à la charge de l'intimé. Le solde sera laissé à la charge de l'Etat.</w:t>
      </w:r>
    </w:p>
    <w:p>
      <w:r>
        <w:rPr>
          <w:b/>
        </w:rPr>
        <w:t>E. 2.1</w:t>
      </w:r>
    </w:p>
    <w:p>
      <w:r>
        <w:t>Selon l'art. 426 CPP, le prévenu supporte les frais de procédure s'il est condamné (al. 1).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(al.2).</w:t>
      </w:r>
    </w:p>
    <w:p>
      <w:r>
        <w:rPr>
          <w:b/>
        </w:rPr>
        <w:t>E. 2.2</w:t>
      </w:r>
    </w:p>
    <w:p>
      <w:r>
        <w:t>En l'espèce, vu la condamnation en seconde instance des chefs de vol et de violation de domicile, la moitié des frais de première instance sera mis à la charge de l'intimé et le solde sera laissé à la charge de l'Etat.</w:t>
      </w:r>
    </w:p>
    <w:p>
      <w:r>
        <w:rPr>
          <w:b/>
        </w:rPr>
        <w:t>E. 2.3</w:t>
      </w:r>
    </w:p>
    <w:p>
      <w:r>
        <w:t>Selonl'art. 139 ch. 1 CP, celui qui, pour se procurer ou procurer à un tiers un enrichissement illégitime, aura soustrait une chose mobilière appartenant à autrui dans le but de se l'approprier, sera puni d'une peine privative de liberté de cinq ans au plus ou d'une peine pécuniaire. 2.4.1. A teneur de l'art. 186 CP, celui qui, d'une manière illicite et contre la volonté de l'ayant droit, aura pénétré dans une maison, dans une habitation, dans un local fermé faisant partie d'une maison, dans un espace, cour ou jardin clos et attenant à une maison, ou dans un chantier, ou y sera demeuré au mépris de l'injonction de sortir à lui adressée par un ayant-droit, sera, sur plainte, puni d'une peine privative de liberté de trois ans au plus ou d'une peine pécuniaire. 2.4.2. La notion de " maison " englobe le bâtiment, ses dépendances et tout local durablement fixé au sol dont une personne peut disposer librement et sans être troublée dans sa possession. Il s'agit d'une notion très large, qui ne prend pas en compte la destination du bâtiment. Il peut dont s'agir notamment de locaux commerciaux, de fabriques, de magasins, de garages, etc. (M. DUPUIS / L. MOREILLON / C. PIGUET / S. BERGER / M. MAZOU / V. RODIGARI [éds], Code pénal - Petit commentaire , 2 e éd., Bâle 2017, ad art. 186 N 9). 2.5.1. En l'espèce, l'intimé s'est emparé le 8 mai 2019 au petit matin du sac à dos de la victime, brisant ainsi la possession de celle-ci contre sa volonté, ce qu'il ne conteste pas. Comme retenu par la CPAR (cf. supra B.f.), au moment de commettre son forfait, l'intimé savait que le sac à dos appartenait à autrui. Il l'a emporté pour s'approprier son contenu. La vérification de la valeur des objets s'y trouvant, alors que deux jours auparavant il avait conservé d'autres effets dérobés de la même manière, constituent un faisceau d'indices suffisant pour le confirmer. Sa culpabilité s'agissant de l'infraction de vol sera dès lors retenue et l'appel du MP admis sur ce point. 2.5.2. S'agissant de l'infraction de violation de domicile, l'intimé a pénétré dans l'aéroport de Genève contre la volonté de ses ayants droit et y est demeuré le temps de commettre un vol, ce qu'il ne conteste pas non plus. Il a agi avec conscience et volonté, dans le but de dérober un sac pour s'enrichir (cf. supra B.f.). Partant, il sera déclaré coupable de violation de domicile, l'appel du MP étant admis sur ce point également. 2.5.3. La poursuite de A______ pour exercice illicite de la prostitution se fonde uniquement sur ses propres déclarations qu'il a pu faire pour démontrer qu'il subvenait à ses besoins autrement qu'en volant. En l'absence de preuves formelles et d'aveux circonstanciés et vérifiables sur ce point, le doute subsistant doit lui profiter. Partant, son acquittement sera confirmé.</w:t>
      </w:r>
    </w:p>
    <w:p>
      <w:r>
        <w:rPr>
          <w:b/>
        </w:rPr>
        <w:t>E. 3</w:t>
      </w:r>
    </w:p>
    <w:p>
      <w:r>
        <w:t>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3.1.2. Bien que la récidive ne constitue plus un motif d'aggravation obligatoire de la peine (art. 67 a CP), les antécédents continuent de jouer un rôle très important dans la fixation de celle-ci (arrêt du Tribunal fédéral 6B_1202/2014 du 14 avril 2016 consid. 3.5 ; M. NIGGLI / H. WIPRÄCHTIGER [éds], Basler Kommentar Strafrecht I : Art. 1-136 StGB, Jugendstrafgesetz , 4 e éd., Bâle 2019, n. 130 s. ad art. 47 CP). En général, la culpabilité de l'auteur est amplifiée du fait qu'il n'a pas tenu compte de l'avertissement constitué par la précédente condamnation, et sa rechute témoigne d'une énergie criminelle accrue (R. ROTH / L. MOREILLON [éds], Code pénal I : art. 1-100 CP , Bâle 2009, n. 55 ad art. 47 CP). 3.1.3. Conformément à l'art. 49 al. 1 CP, si, en raison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Une peine d'ensemble en application du principe de l'aggravation suppose, à la différence de l'absorption et du cumul des peines, que le tribunal ait fixé (au moins de manière théorique) les peines (hypothétiques) de tous les délits. Le prononcé d'une peine unique dans le sens d'un examen global de tous les délits à juger n'est pas possible (ATF 144 IV 313 consid. 1.1.1 ; ATF 144 IV 217 consid. 3.5 ; ATF 127 IV 101 consid. 2b p. 104 ; arrêts du Tribunal fédéral 6B_1216/2017 du 11 juin 2018 consid. 1.1.1 ; 6B_1175/2017 du 11 avril 2018 consid. 2.1 in medio ). Cette disposition ne prévoit aucune exception. Le prononcé d'une peine unique dans le sens d'un examen global de tous les délits à juger n'est pas possible (ATF 144 IV 217 consid. 3.5.4 ; ATF 144 IV 313 consid. 1.1.2). 3.1.4. À teneur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Lorsque, parmi plusieurs infractions à juger, l'une au moins a été commise avant d'autres jugées précédemment (concours rétrospectif partiel), les nouvelles infractions - soit celles commises après l'entrée en force d'un précédent jugement - doivent faire l'objet d'une peine indépendante. Ainsi, il convient d'opérer une séparation entre les infractions commises avant le premier jugement et celles perpétrées postérieurement à celui-ci. Le juge doit tout d'abord s'attacher aux infractions commises avant ledit jugement, en examinant si, eu égard au genre de peine envisagé, une application de l'art. 49 al. 2 CP entre en ligne de compte. Ensuite, il doit considérer les infractions commises postérieurement au jugement précédent, en fixant pour celles-ci une peine indépendante, le cas échéant en faisant application de l'art. 49 al. 1 CP. Enfin, le juge additionne la peine complémentaire ou la peine cumulative retenue pour sanctionner la ou les infractions commises antérieurement au jugement précédent à celle retenue pour sanctionner les infractions commises postérieurement à cette décision (ATF 145 IV 1 consid. 1). En présence d'une ordonnance pénale, la date de l'échéance du délai d'opposition est déterminante pour l'application de l'art. 49 al. 2 CP (M. DUPUIS / B. GELLER / G. MONNIER / L. MOREILLON / C. PIGUET / C. BETTEX / D. SOLL [éd.]), Code pénal, Petit commentaire , Bâle 2012, n. 26 ad art. 49 ; cf. art. 356 al. 1 2 e phr. CPP). Il n'y a pas " condamnation " au sens de l'art. 49 al. 2 CP en présence d'un " jugement " à caractère provisoire (ATF 127 IV 106 consid. 2c). Ainsi, si les faits qui font l'objet du second jugement se sont produits après le prononcé d'une ordonnance de condamnation, mais encore dans le délai d'opposition, la peine doit être fixée en application de l'art. 49 al. 2 CP, même si l'entrée en force, à défaut d'opposition, est postérieure. En effet, avant l'échéance du délai d'opposition, l'ordonnance pénale n'est pas un jugement (Tessin, CCRP, 10.09.1985 in BJP 1993 n. 366). Si le prévenu fait opposition à l'ordonnance, qui devient alors caduque, il appartiendra au juge saisi de l'opposition de tenir compte des faits relatés dans le jugement pour arrêter une peine d'ensemble et fixer la peine complémentaire qui en résulte (Luzern, OG, II. Kammer, 14.05.1985 in BJP 1988 n. 459 ; R. ROTH / L. MOREILLON [éds], Code pénal I : art. 1-100 CP , Bâle 2009, n. 84 ad art. 49 ; ACPR/369/2015 du 3 juillet 2015 consid. 2.1.).</w:t>
      </w:r>
    </w:p>
    <w:p>
      <w:r>
        <w:rPr>
          <w:b/>
        </w:rPr>
        <w:t>E. 3.2</w:t>
      </w:r>
    </w:p>
    <w:p>
      <w:r>
        <w:t>Selon l'art. 41 al. 1 CP, le juge peut prononcer une peine privative de liberté à la place d'une peine pécuniaire si une peine privative de liberté paraît justifiée pour détourner l'auteur d'autres crimes ou délits (let. a) ou s'il y a lieu de craindre qu'une peine pécuniaire ne puisse pas être exécutée (let. b). 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La faute de l'auteur n'est en revanche pas déterminante (ATF 144 IV 313 consid. 1.1.1).</w:t>
      </w:r>
    </w:p>
    <w:p>
      <w:r>
        <w:rPr>
          <w:b/>
        </w:rPr>
        <w:t>E. 3.3</w:t>
      </w:r>
    </w:p>
    <w:p>
      <w:r>
        <w:t>En l'espèce, la faute de l'intimé n'est pas négligeable. Il a porté atteinte au patrimoine de sa victime et a troublé l'ordre de l'aéroport de Genève. Son mobile, qui relève de l'appât du gain, est purement égoïste. Sa situation personnelle, certes précaire, ne justifie pas ses actes puisqu'elle est la conséquence de sa seule volonté de demeurer en Suisse, dans la rue, alors même que sa cousine pouvait l'accueillir chez elle. Il ressort des images de vidéo surveillance de l'aéroport qu'au moment du vol du sac du plaignant, le comportement de l'intimé était cohérent, réfléchi et précautionneux, sans qu'une quelconque désorganisation mentale ne puisse être constatée. Au contraire, il a agi méthodiquement en jaugeant d'abord l'objet de son méfait puis en s'assurant que son propriétaire n'était pas dans les alentours avant de s'en emparer définitivement et de l'emporter avec lui. Par la suite et uniquement une fois qu'il se savait hors de portée de la police, il a procédé à l'évaluation de la valeur du contenu du sac, qu'il a jugée nulle. Il avait donc la capacité pleine et entière d'apprécier le caractère illicite de ses actes et de se déterminer d'après cette appréciation. Ainsi, aucune diminution de responsabilité ne sera retenue in concreto . Sa collaboration ne peut pas être qualifiée de bonne. Il pouvait difficilement contester le vol et la violation de domicile alors qu'il apparait clairement en train d'agir sur les images de vidéosurveillance et qu'il était en possession du sac du plaignant au moment de son interpellation. Devant le premier juge il a néanmoins cherché à s'affranchir de toute responsabilité, avançant un désordre psychique, alors qu'il apparait sur ces images qu'il a agi méthodiquement, à l'instar du modus adopté deux jours plus tôt. Sa prise de conscience est nulle. Il n'a manifesté aucun regret et s'il a indiqué vouloir trouver du travail et continuer à suivre son traitement, il n'a toutefois aucunement fait mention d'un quelconque projet de vie étayé et dans la légalité. Sa première arrestation, qui a donné lieu à sa condamnation pour des faits spécifiques à une peine privative de liberté de 90 jours assortie du sursis ne l'a pas dissuadé de récidiver à peine deux jours plus tard. Le pronostic quant au comportement futur de l'intimé est partant clairement défavorable. Le risque de récidive est élevé étant relevé que sa situation personnelle actuelle n'est pas meilleure que celle prévalant au moment des infractions quand bien même il semble être retourné au Brésil. Le prévenu n'est pas autorisé à travailler en Suisse et ne dispose d'aucune source de revenu avérée, de sorte qu'il ne sera pas en mesure de s'acquitter d'une peine pécuniaire. Dans ces conditions, une peine privative de liberté ferme s'impose, puisqu'elle apparaît être le seul moyen de le détourner de la commission de nouvelles infractions. L'infraction de vol devrait être sanctionnée par une peine privative de liberté de 60 jours et celle de violation de domicile devrait l'être par une peine privative de liberté de 40 jours, au vu de la récidive. Le concours entre ces deux infractions commande une augmentation de la peine fixée pour la plus grave d'entre elles (la première) dans une juste proportion. Par ailleurs, dans la mesure où une peine privative de liberté est prononcée, elle doit être fixée de manière complémentaire à celle du même genre, de 90 jours, prononcée par le MP le 7 mai 2019. C'est ainsi au final une peine privative de liberté ferme de 90 jours qui sera prononcée dans la présente procédure. La renonciation à révoquer le sursis accordé par le MP dans son ordonnance pénale du 7 mai 2019 est acquise à l'intimé.</w:t>
      </w:r>
    </w:p>
    <w:p>
      <w:r>
        <w:rPr>
          <w:b/>
        </w:rPr>
        <w:t>E. 4</w:t>
      </w:r>
    </w:p>
    <w:p>
      <w:r>
        <w:t>4.1. Aux termes de l'art. 51 CP, le juge impute sur la peine la détention avant jugement subie par l'auteur dans le cadre de l'affaire qui vient d'être jugée ou d'une autre procédure. Un jour de détention correspond à un jour-amende. La méthode de calcul est imposée par le législateur (arrêts du Tribunal fédéral 6B_389/2018 du 6 septembre 2018 consid. 1.1 ; 6B_671/2016 du 17 mai 2017 consid. 1.3). Il découle de cette disposition que la détention avant jugement (cf. art. 110 al. 7 CP) doit être imputée sur la peine même si cette détention résulte d'une procédure antérieure (ATF 141 IV 236 consid. 3.3 p. 239 ; ATF 133 IV 150 consid. 5.1 p. 155). Contrairement à ce qui prévalait sous l'ancien droit, en vigueur jusqu'en 2007, l'art. 51 CP n'exige pas une identité de fait ou de procédure entre la détention avant jugement subie et la peine prononcée (ATF 141 IV 236 consid. 3.3 p. 239 ; ATF 135 IV 126 consid. 1.3.9 p. 130). La privation de liberté à subir doit ainsi toujours être compensée, pour autant que cela soit possible, avec celle déjà subie (ATF 133 IV 150 consid. 5.1 p. 155). Tel sera ainsi le cas d'une détention avant jugement qui est supérieure à la peine finalement prononcée ou qui a été subie à tort en raison d'un acquittement, pour autant que celle-ci n'ait pas précédemment fait l'objet d'une indemnisation financière (arrêt du Tribunal fédéral 6B_389/2018 du 6 septembre 2018 consid. 1.1 et les références). Tel est aussi le cas lorsque le nombre de jours de détention provisoire dépasse celui des jours-amende ou de la peine privative de liberté prononcés (arrêt du Tribunal fédéral 6B_558/2013 du 13 décembre 2013 consid. 1.6 in fine). La détention avant jugement doit être imputée sur la peine, indépendamment du fait que celle-ci soit assortie du sursis ou non et qu'il s'agisse d'une peine pécuniaire ou privative de liberté (ATF 141 IV 236 consid. 3.3 p. 239 ; ATF 135 IV 126 consid. 1.3.6 p. 129). En présence de peines de types différents, l'imputation de la détention avant jugement s'opère en premier lieu sur la peine privative de liberté, puis en cas d'excédent sur la peine pécuniaire, cela indépendamment d'une identité entre cette dernière et la détention avant jugement subie (arrêt du Tribunal fédéral 6B_983/2013 du 24 février 2014 consid. 6.2). La question d'une indemnisation financière (art. 431 al. 2 et al. 3 let. b CPP) d'une détention injustifiée ne se pose donc en principe que si une imputation suffisante de cette détention sur une autre sanction au sens de l'art. 51 CP n'est plus possible ; l'indemnisation financière est ainsi subsidiaire à l'imputation (ATF 141 IV 236 consid. 3.3 p. 239 et les références ; arrêt du Tribunal fédéral 6B_671/2016 du 17 mai 2017 consid. 1.1). L'intéressé n'a pas le droit de choisir entre les deux formes d'indemnisation (arrêts du Tribunal fédéral arrêts du Tribunal fédéral 6B_389/2018 du 6 septembre 2018 consid. 1.1 ; 6B_671/2016 du 17 mai 2017 consid. 1.1 ; 6B_431/2015 du 24 mars 2016 consid. 2.2 ; 6B_84/2014 du 13 août 2014 consid. 5.1).</w:t>
      </w:r>
    </w:p>
    <w:p>
      <w:r>
        <w:rPr>
          <w:b/>
        </w:rPr>
        <w:t>E. 4.2</w:t>
      </w:r>
    </w:p>
    <w:p>
      <w:r>
        <w:t>En l'espèce, la détention déjà purgée, de 91 jours, excède d'un jour les 90 jours de peine privative de liberté présentement prononcés, lequel sera dès lors imputé sur la peine privative de liberté de 90 jours prononcée le 7 mai 2019, non exécutée à ce jour.</w:t>
      </w:r>
    </w:p>
    <w:p>
      <w:r>
        <w:rPr>
          <w:b/>
        </w:rPr>
        <w:t>E. 5</w:t>
      </w:r>
    </w:p>
    <w:p>
      <w:r>
        <w:t>5.1.1. Dans un arrêt 6B_1221/2018 du 27 septembre 2019 destiné à la publication, le Tribunal fédéral retient qu'il faut procéder à une interprétation de l'art 66a let. d CP conforme à la Cst. L'art. 121 Cst prévoit l'expulsion obligatoire en cas de "vol avec effraction", ce que le législateur a traduit à l'art. 66a let. d CP par vol avec violation de domicile, le CP ne connaissant pas la figure du "vol avec effraction". Il faut ainsi retenir que celui qui commet un vol dans un commerce en commettant une violation de domicile parce qu'il fait l'objet d'une interdiction d'entrée dans ce commerce, ne commet pas une infraction du catalogue de l'art. 66a CP. En effet, une telle violation de domicile, qui contrevient à une interdiction d'entrée sous seing privé, ne constitue pas une infraction de "vol avec effraction" et ne doit donc pas entraîner une expulsion obligatoire. 5.1.2. Conformément à l'art. 66 a bis CP, le juge peut expulser un étranger du territoire suisse pour une durée de trois à quinze ans si, pour un crime ou un délit non visé à l'art. 66 a CP, celui-ci a été condamné à une peine ou a fait l'objet d'une mesure au sens des art. 59 à 61 ou 64 CP. Cette mesure prévue par la loi qui, par essence, s'ajoute à la peine proprement dite, fait partie intégrante de la sanction à prononcer (ATF 143 IV 168 consid. 3.2. = SJ 2017 I 433). L'expulsion judiciaire pénale de l'art. 66abis CP - qui ne diffère pas fondamentalement de l'expulsion prescrite en son temps par l'art. 55 al. 1 aCP (ATF 123 IV 107 consid. 1) - ne contredit pas l'interdiction de la double peine qui découle notamment de l'art. 6 CEDH ( AARP/202/2017 du 16 juin 2017 consid. 2.5). Il s'agit d'une Kannvorschrift (G. MÜNCH / F. DE WECK, Die neue Landes-verweisung, in Art. 66a ff. StGB , Revue de l'avocat 2016, p. 163 ; G. FIOLKA / L. VETTERLI, Landesverweisung nach Art. 66a StGB als strafrechtliche Sanktion , cahier spécial, Plädoyer 5/16, p. 86 ; AARP/185/2017 du 2 juin 2017 consid. 2.2 ; AARP/179/2017 du 30 mai 2017 consid. 3.1.2). Le juge est donc libre, sans autre justification, de renoncer à l'expulsion facultative (M. BUSSLINGER / P. UEBERSAX, Härtefallklausel und migrationsrechtliche Auswirkungen der Landes-verweisung , cahier spécial, Plaidoyer 5/2016, p. 98). L'application de l'art. 66abis CP impose le respect du principe de proportionnalité. En d'autres termes, le juge doit faire une pesée des intérêts entre celui public à l'éloignement et la situation personnelle du condamné (G. FIOLKA / L. VETTERLI, op. cit., p. 87 ; K. KÜMIN, Darf eine Aufenthaltsbewilligung widerrufen werden, nachdem von einer Landesverweisung abgesehen wurde ?, Jusletter 28 novembre 2016, p. 14). Concernant le premier volet, le juge doit se demander, si l'expulsion facultative est de nature à empêcher la commission de nouvelles infractions en Suisse (G. FIOLKA / L. VETTERLI, op. cit., p. 84 ; AARP/179/2017 du 30 mai 2017 consid. 3.1.2). À cette fin, il considérera pour commencer la quotité de la peine : plus lourde sera celle-ci et plus grand sera l'intérêt public à expulser l'étranger. Ce résultat sera renforcé par le type d'infraction commise : si celle-ci atteint la vie, l'intégrité corporelle ou sexuelle, voire la santé d'un grand nombre de personne en application d'une aggravante à la LStup, l'intérêt public sera plus élevé. Quoiqu'il en soit, l'intérêt privé de l'intéressé à rester en Suisse devra s'analyser sans perdre de vue que les dispositions de la CEDH restent contraignantes, en particulier les art. 3 et 8 CEDH (ATF 139 I 16 consid. 4.2. et 5 ss ; G. MÜNCH / F. DE WECK, op. cit ., p. 166 ; M. BUSSLINGER / P. UEBERSAX, op. cit ., p. 97 et 103 ; K. KÜMIN, op. cit., p. 14 ; AARP/185/2017 du 2 juin 2017 consid. 2.2).</w:t>
      </w:r>
    </w:p>
    <w:p>
      <w:r>
        <w:rPr>
          <w:b/>
        </w:rPr>
        <w:t>E. 5.2</w:t>
      </w:r>
    </w:p>
    <w:p>
      <w:r>
        <w:t>La durée du séjour en Suisse du prévenu n'a été que de quelques mois, étant relevé qu'il est retourné au Brésil en septembre 2019, conformément à la décision de renvoi prise par l'OCPM. Il compte désormais deux condamnations en Suisse. Il ne parle pas français et n'a occupé aucun emploi durant son séjour si bien que son intégration peut être considérée comme nulle. Il n'a pas de famille ou amis proches en Suisse à l'exception de sa cousine, laquelle ne souhaite plus l'héberger. L'expulsion de l'intimé au Brésil ne rend pas impossible la mise en place d'un traitement pour ses troubles psychiatriques, du moins il ne le prétend ni a fortiori ne le démontre pas étant au contraire relevé qu'aux dires de son conseil il y est précisément spécifiquement soigné. Par ailleurs, sa présence en Suisse n'a pas paru particulièrement l'inciter à respecter la prise de sa médication, ce qu'il a admis et a avancé pour s'affranchir de toute responsabilité dans les infractions reprochées. Ainsi, il se justifie de prononcer son expulsion de Suisse pour une durée de trois ans, correspondant au minimum légal en vigueur, ce qui s'avère proportionné dans le cas d'espèce.</w:t>
      </w:r>
    </w:p>
    <w:p>
      <w:r>
        <w:rPr>
          <w:b/>
        </w:rPr>
        <w:t>E. 6</w:t>
      </w:r>
    </w:p>
    <w:p>
      <w:r>
        <w:t>6.1.1. Selon l'art. 428 al. 1, première phrase, CPP, les frais de la procédure de recours sont mis à la charge des parties dans la mesure où elles ont obtenu gain de cause ou succombé. Pour déterminer si une partie succombe ou obtient gain de cause, il faut examiner dans quelle mesure ses conclusions sont admises en deuxième instance (arrêts du Tribunal fédéral 6B_472/2018 du 22 août 2018 consid. 1.2 ; 6B_620/2016 du 17 mai 2017 consid. 2.1.2).</w:t>
      </w:r>
    </w:p>
    <w:p>
      <w:r>
        <w:rPr>
          <w:b/>
        </w:rPr>
        <w:t>E. 7</w:t>
      </w:r>
    </w:p>
    <w:p>
      <w:r>
        <w:t>7.1.1. Selon l'art. 135 al. 1 CPP, le défenseur d'office ou le conseil juridique gratuit ( cf. art. 138 al. 1 CPP) est indemnisé conformément au tarif des avocats du canton du for du procès. L'art. 16 du règlement sur l'assistance juridique du 28 juillet 2010 (RAJ - E 2 05.04) dispose que l'indemnité, en matière pénale, est calculée selon le tarif horaire de CHF 200.- pour le chef d'étude CHF 200.- (let. c) et de CHF 110.- pour l'avocat stagiaire CHF 110.- (let. a). En cas d'assujettissement, l'équivalent de la TVA est versé en sus. Seules les heures nécessaires à la défense devant les juridictions cantonales sont retenues et sont appréciées en fonction notamment de la nature, de l'importance et des difficultés de la cause, de la valeur litigieuse, de la qualité du travail fourni et du résultat obtenu (art. 16 al. 2 RAJ). 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 AARP/295/2015 du 12 juillet 2015 consid. 8.2.2.3, 8.2.2.6, 8.3.1.1 et 8.3.2.1). 7.1.2.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 Ainsi, les communications et courriers divers sont en principe inclus dans le forfait ( AARP/182/2016 du 3 mai 2016 consid. 3.2.2 ; AARP/501/2013 du 28 octobre 2013) de même que d'autres documents ne nécessitant pas ou peu de motivation ou autre investissement particulier en termes de travail juridique. Les écritures plus amplement motivées sont pour leur part indemnisées séparément, dans les limites du principe de nécessité ; aussi, le temps consacré à la rédaction d'écritures inutiles ou reprenant une argumentation déjà développée, fût-ce devant une autorité précédente, ne saurait donner lieu à indemnisation ou à indemnisation supplémentaire ( AARP/204/2016 du 9 mai 2016 consid. 7.3 et AARP/109/2016 du 17 mars 2016 consid. 8.2.4 et 8.3.1 [rédaction du mémoire d'appel]). 7.1.3. Le travail consistant en des recherches juridiques, sauf questions particulière-ment pointues, n'est pas indemnisé, l'État ne devant pas assumer la charge financière de la formation de l'avocat stagiaire, laquelle incombe à son maître de stage, ou la formation continue de l'avocat breveté ( AARP/147/2016 du 17 mars 2016 consid. 7.3 ; AARP/302/2013 du 14 juin 2013 ; AARP/267/2013 du 7 juin 2013). 7.1.4. Les entretiens avec la famille du prévenu ne sont en principe pas indemnisés par l'assistance juridique, ne relevant pas de la défense ( AARP/295/2015 du 12 juillet 2015 consid. 8.1.4.4 et 8.2.2.2 confirmé sur ce point par la décision de la Cour des plaintes du Tribunal pénal fédéral BB.2015.85 du 12 avril 2016 consid. 3.4 ; AARP/500/2013 du 28 octobre 2013).</w:t>
      </w:r>
    </w:p>
    <w:p>
      <w:r>
        <w:rPr>
          <w:b/>
        </w:rPr>
        <w:t>E. 7.2</w:t>
      </w:r>
    </w:p>
    <w:p>
      <w:r>
        <w:t>En l'occurrence, en application des principes qui précèdent, il convient de retrancher de l'état de frais présenté par M e B______ l'un des entretiens avec un membre de la famille du prévenu (le 12 août 2019), seul celui de 30 minutes, le 19 novembre 2019, pouvant être, exceptionnellement dans les circonstances d'espèce, considéré comme utile pour la préparation des écritures en appel. L'entretien du 24 octobre 2019 avec le MP a eu lieu par téléphone et entre dans le forfait pour activités diverses, de même que les postes de prises de connaissance de l'appel, les deux déterminations sur la procédure écrite, les recherches juridiques et l'" envoi de l'appel ", toutes activités également couvertes par le forfait pour activités diverses, respectivement n'étant pas indemnisées par l'assistance juridique. Autrement dit, il sera retenu 30 minutes d'entretien le 19 novembre 2019 (stagiaire), 25 minutes de travail sur dossier du 29 octobre 2019 (associé), 4h pour la rédaction du mémoire d'appel (associé), amplement suffisantes, pour moins de 2.5 pages de motivation, à bon escient, 40 minutes de travail sur dossier du 1 er octobre 2019 (stagiaire) et 25 minutes de prise de connaissance de l'appel motivé le 5 décembre 2019 (stagiaire).</w:t>
      </w:r>
    </w:p>
    <w:p>
      <w:r>
        <w:rPr>
          <w:b/>
        </w:rPr>
        <w:t>E. 7.3</w:t>
      </w:r>
    </w:p>
    <w:p>
      <w:r>
        <w:t>En conclusion, l'indemnité sera arrêtée à CHF 1'366.70 correspondant à 4h25 d'activité à CHF 200.-/heure (CHF 883.35), 1h35 à CHF 110.-/heure (CHF 174.15), plus la majoration forfaitaire de 20% (CHF 211.50) et l'équivalent de la TVA au taux de 7.7% en CHF 97.70.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