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P/9841/2019 vom 4. Mai 2023</w:t>
      </w:r>
    </w:p>
    <w:p>
      <w:r>
        <w:t>GE Cour de justice, 2023-05-04, FR</w:t>
      </w:r>
    </w:p>
    <w:p>
      <w:r>
        <w:rPr>
          <w:b/>
        </w:rPr>
        <w:t xml:space="preserve">Quelle: </w:t>
      </w:r>
      <w:r>
        <w:t>https://mcp.opencaselaw.ch/entscheid/ge_gerichte_P_9841_2019</w:t>
      </w:r>
    </w:p>
    <w:p>
      <w:r>
        <w:t>FR: GE_GERICHTE P/9841/2019 du 4 mai 2023</w:t>
      </w:r>
    </w:p>
    <w:p>
      <w:r>
        <w:t>IT: GE_GERICHTE P/9841/2019 del 4 maggio 2023</w:t>
      </w:r>
    </w:p>
    <w:p>
      <w:pPr>
        <w:pStyle w:val="Heading2"/>
      </w:pPr>
      <w:r>
        <w:t>Regeste</w:t>
      </w:r>
    </w:p>
    <w:p>
      <w:r>
        <w:t>VOL(DROIT PÉNAL);FIXATION DE LA PEINE | CP.139; CP.47</w:t>
      </w:r>
    </w:p>
    <w:p>
      <w:pPr>
        <w:pStyle w:val="Heading2"/>
      </w:pPr>
      <w:r>
        <w:t>Erwägungen</w:t>
      </w:r>
    </w:p>
    <w:p>
      <w:r>
        <w:rPr>
          <w:b/>
        </w:rPr>
        <w:t>E. 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2.4</w:t>
      </w:r>
    </w:p>
    <w:p>
      <w:r>
        <w:t>L'art. 139 ch. 1 CP réprime le comportement de celui qui, pour se procurer ou procurer à un tiers un enrichissement illégitime, aura soustrait une chose mobilière appartenant à autrui dans le but de se l'approprier. 2.5.1. En l'espèce, il est établi et non contesté que deux colis ont été dérobés dans les locaux exploités par la partie plaignante le 1 er mai 2019 par l'ancien collègue de l'appelant (désormais condamné pour ces faits). 2.5.2.1. L'appelant conteste toute implication dans ce vol alors qu'un faisceau d'indices sérieux converge vers sa culpabilité. Il plaide en vain qu'il n'est pas établi par les images de vidéosurveillance qu'il a poussé les colis dérobés hors du tapis puisqu'il l'a lui-même concédé en expliquant que cela faisait partie de ses tâches ordinaires. En revanche, il est vrai que lesdites images ne suffisent pas à retenir sa culpabilité et doivent être examinées à la lumière des autres éléments de la procédure. 2.5.2.2. L'appelant, qui s'est certes montré constant dans ses dénégations, n'a pas été capable de fournir d'explications crédibles confronté aux preuves matérielles ou a varié. Il n'a pas hésité à sous-entendre que son ancien employeur avait cherché un prétexte à son licenciement. Il a, de son propre aveu, effectué de nombreux retraits chez le client concerné et ne saurait ainsi être suivi lorsqu'il explique ne pas être capable de reconnaître les expéditeurs ou le contenu des paquets. Soulignons encore que le destinataire était une grande entreprise et l'expéditeur un marchand de matériel informatique, de sorte que ces informations suffisaient à imaginer un contenu de valeur. Les explications quant à la réinitialisation de son téléphone ne convainquent pas non plus puisque la manipulation a eu lieu à la fin des vacances avec sa petite amie et que celle-ci aurait eu tout le temps de voir les photographies compromettantes, à supposer qu'elle eut voulu fouiller dans l'appareil de son compagnon. Rappelons que le prévenu a commencé par évoquer des difficultés avec son téléphone et que cette variation, vu ce qui précède, ne saurait provenir d'un prétendu sentiment de honte vis-à-vis de sa compagne. Au contraire, cela persuade qu'il a tenté maladroitement de dissimuler la réelle motivation de la suppression des données, soit la commission du vol. Même à considérer qu'il ignorait l'arrestation de son comparse, ce qui est douteux vu que celle-ci est intervenue au vu et su de ses collègues, il n'empêche que la réinitialisation a eu lieu la veille du jour où il pouvait s'attendre à devoir fournir des explications quant aux faits reprochés. Il n'est du reste pas décisif qu'il soit allé travailler dès lors que le contraire aurait attiré l'attention. 2.5.2.3. À l'inverse, le comparse de l'appelant l'a mis en cause de manière constante, cohérente et modérée, et a livré des explications détaillées et précises. Les deux hommes s'entendaient bien, ce qui n'est pas contesté et exclut toute volonté de nuire. On ne saurait reprocher à E______ de ne pas avoir dévoilé l'identité de son coauteur hors de la procédure pénale, en particulier en présence de leur supérieur hiérarchique. Au contraire, cela conforte dans l'idée qu'il ne lui voulait pas de mal. Rien ne permet du reste d'établir qu'il eût été influencé d'une quelconque manière. La thèse selon laquelle il aurait cherché à limiter sa propre responsabilité ne trouve pas d'assise dans le dossier vu les autres vols concédés et l'admission explicite d'une responsabilité identique. Cela étant, pour ces mêmes raisons, on ne saurait retenir que l'appelant fut à l'initiative de l'infraction. Plaident encore et de manière prépondérante en faveur de la version de E______ les nombreux et inhabituels contacts téléphoniques entre eux ce jour-là, y compris après leurs horaires de travail respectifs. Notons que l'un de ces appels est intervenu deux minutes après la sortie de la poubelle hors du local laissant penser qu'ils ont coordonné la réception du second colis. L'appelant ne saurait être suivi lorsqu'il plaide la nature professionnelle de ces interactions vu l'heure à laquelle elles ont eu lieu (quatre appels après 19 heures) et leur durée (quatre secondes pour certaines), étant rappelé que son collègue affirme, sans que l'on ne puisse en douter, ne pas avoir discuté d'une problématique de travail. 2.5.2.4. Le superviseur, lequel n'a pas d'intérêt à la procédure, a livré des déclarations étayées et modérées, de sorte que l'on ne saurait retenir qu'il a insisté sur le nom de l'appelant auprès de son collègue. Il est sans importance qu'il n'a pas relevé de comportement particulier sur la vidéosurveillance puisque ses soupçons étaient, entre autres, fondés sur la connaissance du client concerné et de ses produits par le prévenu. 2.5.2.5. Il n'est pas déterminant que le fruit de l'infraction (marchandise ou contre-valeur financière) ne se trouvât pas au domicile de l'appelant dès lors que la perquisition a eu lieu douze jours après le vol lui laissant le temps de le déplacer ou s'en débarrasser. 2.5.3. Au vu de ce qui précède, les faits décrits dans l'ordonnance pénale du 21 septembre 2021 sont établis et constitutifs d'un vol au sens de l'art. 139 ch. 1 CP.</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 3.2.1. La faute de l'appelant est non négligeable. Mû par un mobile égoïste (appât du gain), il a profité de la confiance de son employeur pour favoriser ses propres intérêts pécuniaires. La collaboration a été mauvaise, l'appelant persistant à nier sa responsabilité. Sa prise de conscience est inexistante. Il n'a pas évoqué de regrets, ni présenté d'excuses ou cherché à réparer le dommage. Sa situation personnelle n'explique pas ses agissements, lui-même concédant ne pas avoir eu de problèmes d'argent à l'époque des faits. Il a plusieurs antécédents en France, dont un spécifique, mais ceux-ci sont anciens. 3.2.2. Au vu de ce qui précède, la peine de 60 jours-amende apparaît adéquate et sera confirmée, étant précisé que leur montant correspond à la situation économique de l'appelant. Le genre de peine et l'octroi du sursis lui sont acquis, de même que la durée appropriée du délai d'épreuve (art. 391 al. 2 CPP).</w:t>
      </w:r>
    </w:p>
    <w:p>
      <w:r>
        <w:rPr>
          <w:b/>
        </w:rPr>
        <w:t>E. 4</w:t>
      </w:r>
    </w:p>
    <w:p>
      <w:r>
        <w:t>L'appelant, qui succombe, supporte les frais de la procédure envers l'État (art. 428 CPP), y compris un émolument de décision de CHF 1'800.-. Vu l'issue de la procédure d'appel, il n'y a pas lieu de revoir la répartition des frais de première instance, y compris l'émolument complémentaire, ni la compensation des frais de la procédure avec les sommes saisies.</w:t>
      </w:r>
    </w:p>
    <w:p>
      <w:r>
        <w:rPr>
          <w:b/>
        </w:rPr>
        <w:t>E. 5</w:t>
      </w:r>
    </w:p>
    <w:p>
      <w:r>
        <w:t>Dans le prolongement de ce qui précède, l'appelant sera débouté de ses conclusions en indemnisation (art. 429 CPP a contrario ).</w:t>
      </w:r>
    </w:p>
    <w:p>
      <w:r>
        <w:rPr>
          <w:b/>
        </w:rPr>
        <w:t>E. 6</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Il en va de même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 En l'occurrence, il convient de retrancher de l'état de frais du défenseur d'office le temps consacré à la rédaction de la déclaration d'appel (30 minutes), l'activité adéquate à ce titre étant couverte par le forfait. Le temps dédié à la rédaction du mémoire d'appel, y compris la " reprise du dossier " (une heure), sera réduit de cinq heures et 45 minutes, compte tenu de ce que l'avocat suivait la procédure depuis ses débuts et de ce qu'elle ne présente pas de difficulté particulière. En conclusion, la rémunération sera arrêtée à CHF 1'421.65 correspondant à six heures d'activité au tarif de CHF 200/heure (CHF 1'200.-) plus la majoration forfaitaire de 10% (vu l'activité déjà indemnisée) (CHF 120.-) et la TVA de 7.7%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