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P/9839/2017 vom 10. August 2017</w:t>
      </w:r>
    </w:p>
    <w:p>
      <w:r>
        <w:t>GE Cour de justice, 2017-08-10, FR</w:t>
      </w:r>
    </w:p>
    <w:p>
      <w:r>
        <w:rPr>
          <w:b/>
        </w:rPr>
        <w:t xml:space="preserve">Quelle: </w:t>
      </w:r>
      <w:r>
        <w:t>https://mcp.opencaselaw.ch/entscheid/ge_gerichte_P_9839_2017</w:t>
      </w:r>
    </w:p>
    <w:p>
      <w:r>
        <w:t>FR: GE_GERICHTE P/9839/2017 du 10 août 2017</w:t>
      </w:r>
    </w:p>
    <w:p>
      <w:r>
        <w:t>IT: GE_GERICHTE P/9839/2017 del 10 agosto 2017</w:t>
      </w:r>
    </w:p>
    <w:p>
      <w:pPr>
        <w:pStyle w:val="Heading2"/>
      </w:pPr>
      <w:r>
        <w:t>Regeste</w:t>
      </w:r>
    </w:p>
    <w:p>
      <w:r>
        <w:t>LÉSION CORPORELLE SIMPLE ; SÉJOUR ILLÉGAL ; EXPULSION(DROIT DES ÉTRANGERS) ; IN DUBIO PRO REO ; RÉVOCATION DU SURSIS CONCORDATAIRE ; PEINE PRIVATIVE DE LIBERTÉ | CP.123.al1; LEtr.115.al1.letb; LEtr.119.al1; LStup.19a; CP.66bis.ala; CP.41.al1; CP.42.al2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frais et les indemnités (let. f). La Chambre limite son examen aux violations décrites dans l'acte d'appel (art. 404 al. 1 CPP), sauf en cas de décisions illégales ou inéquitables (art. 404 al. 2 CPP).</w:t>
      </w:r>
    </w:p>
    <w:p>
      <w:r>
        <w:rPr>
          <w:b/>
        </w:rPr>
        <w:t>E. 2</w:t>
      </w:r>
    </w:p>
    <w:p>
      <w:r>
        <w:t>En l'espèce, la CPAR constate d'une part que la confrontation avec l'intimée a déjà eu lieu et d'autre part que les éléments au dossier suffisent pour lui permettre d'apprécier la crédibilité des déclarations de celle-ci. Ainsi la requête de l'appelant allant dans ce sens sera rejetée, la Cour n'entrevoyant pas l'utilité de la mesure requise.</w:t>
      </w:r>
    </w:p>
    <w:p>
      <w:r>
        <w:rPr>
          <w:b/>
        </w:rPr>
        <w:t>E. 2.1</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 Bâle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non publié du Tribunal fédéral 6B_78/2012 consid. 3.1 du 27 août 2012). Sous réserve de l'audition du prévenu, laquelle a généralement lieu également devant la juridiction d'appel (art. 341 al. 3 CPP applicable par analogie selon l'art. 405 al. 1 CPP),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Afin de déterminer quel moyen de preuve doit être administré, le juge dispose d'un pouvoir d'appréciation (arrêt 6B_484 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non publiés du Tribunal fédéral 6B_614/2012 consid. 3.2.3 du 15 février 2013 et 6B_509/2012 du 22 novembre 2012 consid. 3.2 ; A. DONATSCH / T. HANSJAKOB / V. LIEBER (éds), Kommentar zur Schweizerischen Strafprozessordnung (StPO) , Zurich 2010, n. 17 ad art. 398). Il convient au demeurant d'éviter la multiplication d'auditions qui n'amènent que rétractations et revirements, source de conflits et de perte de temps (C. COQUOZ / A. MOERI, Le CPP : questions choisies après 3 ans de pratique , SJ 2014 II p. 37 ss, 43 et l'ATF 139 IV 25 discuté).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rPr>
          <w:b/>
        </w:rPr>
        <w:t>E. 3.1</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4.3.2. Aux termes de l'art. 42 al. 1 CP, le juge suspend en règle générale l'exécution d'une peine privative de liberté de six mois au moins et de deux ans au plus lorsqu'une peine ferme ne paraît pas nécessaire pour détourner l'auteur d'autres crimes ou délits. Sur le plan objectif, les peine pécuniaire, travail d'intérêt général et peine privative de liberté de six mois au moins et de deux ans au plus, peuvent être assorties du sursis total.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4.3.3. Selon l'art. 42 al. 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 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 2 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w:t>
      </w:r>
    </w:p>
    <w:p>
      <w:r>
        <w:rPr>
          <w:b/>
        </w:rPr>
        <w:t>E. 3.2</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w:t>
      </w:r>
    </w:p>
    <w:p>
      <w:r>
        <w:rPr>
          <w:b/>
        </w:rPr>
        <w:t>E. 3.3</w:t>
      </w:r>
    </w:p>
    <w:p>
      <w:r>
        <w:t>En l'espèce, tant les déclarations de l'intimée que celles de l'appelant contiennent des incohérences, voir des contradictions. Pour exemple, en ce qui concerne la première, elle a d'abord affirmé qu'au moment de se présenter à son hôtel, l'appelant avait l'air plutôt " clair ", pour dans un second temps se rétracter et dire qu'elle avait remarqué qu'il " n'était pas dans un état normal ". Ensuite, bien qu'elle affirme que l'appelant l'ait à trois reprises saisie par le cou avec ses deux mains et serré avec une force telle qu'elle ne pouvait plus respirer, aucune marque d'étranglement n'a été constatée, l'intimée expliquant finalement qu'il n'avait pas obstrué sa respiration, mais l'avait fait tousser et qu'elle n'avait pas eu trop mal, mais surtout peur. De plus, le fait que tous les témoins, y compris l'intimée, aient déclaré que l'appelant tenait une bière dans la main, rend sa version peu crédible. D'ailleurs le premier juge a acquitté celui-ci de ce chef. L'intimée a également, après avoir déclaré être sûre que l'appelant l'avait menacée de mort en langues étrangères, expliqué que son sentiment de peur pour sa vie résultait du contexte et non d'une menace explicite, d'où l'autre acquittement. A cela s'ajoute que les deux protagonistes échangeaient en français, ce qui est incohérent avec la profération de menaces en langues étrangères. Ainsi, contrairement à ce qu'a retenu le premier juge, les déclarations de la partie plaignante ne peuvent pas être qualifiées de cohérentes. Enfin, la Cour relève que l'intimée a été hospitalisée en 2009 en psychiatrie et prend depuis quotidiennement des médicaments contre la dépression, le témoin L______, ayant observé qu'elle " pouvait avoir quelques soucis d'ordre psychologique ". Les déclarations de l'appelant contiennent également de nombreuses incohérences. Il a notamment varié s'agissant de la durée et de la nature de sa relation avec l'intimée, mentionnant qu'il la connaissait depuis deux ans, puis deux semaines puis évoquant finalement une semaine. Il en est de même en ce qui concerne la quantité d'alcool qu'il a consommée le jour des faits, celle-ci ayant changé tout au long des auditions. Il a aussi nié avoir pris de la cocaïne alors que cette substance a été retrouvée sur lui et qu'il a admis qu'elle lui appartenait, l'utilisant pour sa consommation personnelle. A cela s'ajoute que le témoin K______, qui a participé à son arrestation, a déclaré que l'appelant avait admis avoir bu et pris de la cocaïne. Enfin, alors qu'il a affirmé tenir l'intimée par la main lorsque celle-ci est sortie de la pharmacie, cette dernière et le témoin J______ qui les observait, ont déclaré l'inverse. Au final, comme pour l'intimée, les déclarations de l'appelant ne peuvent pas être qualifiées de cohérentes. La Cour retiendra donc pour établi les faits suivants sur la base des éléments objectifs du dossier et des déclarations des parties dans la seule mesure où elles sont convergentes : l'intimée a fait la connaissance de l'appelant quelques jours avant les faits. Le 9 mai 2017, elle a consenti à le suivre et à aller boire et manger avec lui aux Bains F______. Au cours de la journée, l'appelant a consommé de la cocaïne et une quantité d'alcool correspondant à la mesure de 0.78 mg/l relevée lors de son arrestation. L'intimée, quant à elle, a pris des médicaments, dont des antidépresseurs le matin, bu de la bière, en faible quantité vu le résultat négatif de son alcootest, et " tiré quelques taffes sur un joint ". Les deux protagonistes ont ensuite quitté les F______ pour se rendre dans une pharmacie à G______, où seule l'intimée est entrée par une première porte où l'attendait l'appelant, pour quitter les lieux en utilisant une seconde porte donnant sur la rue ______. L'appelant l'a alors suivie. En ce qui concerne la suite des évènements, soit la cause de la chute de l'intimée, le dossier ne contient aucun élément direct, puisque les déclarations des deux protagonistes ne sont pas cohérentes et que les témoignages des différents policiers présents au moment de l'interpellation de l'appelant ont en commun qu'aucun d'eux n'a vu l'appelant pousser l'intimée ou avoir un quelconque contact avec elle. Or, même dans la version la plus favorable à l'accusation, soit qu'en sortant de la pharmacie l'intimée tentait de semer l'appelant qui se faisait trop insistant, diverses hypothèses restent plausibles pour expliquer la chute. En effet, l'intimée aurait, par exemple, pu être passablement irritée par l'insistance de l'appelant et être tombée en tentant de repousser ses avances. Il est également possible que l'appelant, voyant que l'intimée ne voulait plus de sa compagnie l'ait poussée et qu'elle ait chuté. Enfin, il peut également s'agir d'une simple chute accidentelle. Les éléments au dossier ne permettent pas de retenir une hypothèse plus qu'une autre. En particulier, les évènements postérieurs à la chute ne permettent pas de retenir une attitude agressive de l'appelant envers l'intimée. La Cour rappelle que le témoin J______ n'a pas été en mesure d'indiquer si l'appelant était ou non agressif envers l'intimée. Le témoin K______ a, quant à lui, expliqué qu'après plusieurs injonctions, l'appelant n'avait pas obtempéré et avait pris une posture agressive dont il ne dira que dans un second temps, qu'elle était, selon sa compréhension, dirigée contre l'intimée. Ces informations ne suffisent pas à forger la conviction de la Cour, au-delà de tout doute raisonnable, s'agissant du fait que l'appelant était énervé ou agressif envers l'intimée, ce qui aurait pu être un indice du déroulement de la prétendue altercation. La Cour relève que les raisons de l'énervement de l'appelant à l'arrivée de la police peuvent être multiples, notamment les cris de l'intimée, la présence de cocaïne dans ses poches ou sa situation irrégulière sur le territoire genevois, aucun de ces scénarios n'étant plus vraisemblable qu'un autre, ni ne s'excluant. Enfin, les lésions aux jambes de l'intimée peuvent être consécutives au fait de tomber toute seule comme d'être poussée par un tiers. Par conséquent, au vu des éléments qui précèdent et en application du principe in dubio pro reo , l'appelant doit être acquitté du chef d'accusation de lésions corporelles simples et le jugement attaqué réformé en ce sens.</w:t>
      </w:r>
    </w:p>
    <w:p>
      <w:r>
        <w:rPr>
          <w:b/>
        </w:rPr>
        <w:t>E. 4</w:t>
      </w:r>
    </w:p>
    <w:p>
      <w:r>
        <w:t>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L'absence d'antécédents a, en principe, un effet neutre sur la fixation de la peine et n'a donc pas à être prise en considération dans un sens atténuant (ATF 141 IV 61 consid. 6.3.2 p. 70).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Les règles générales régissant la fixation de la peine ont été rappelées aux arrêts publiés aux ATF 141 IV 61 et ATF 136 IV 55 .</w:t>
      </w:r>
    </w:p>
    <w:p>
      <w:r>
        <w:rPr>
          <w:b/>
        </w:rPr>
        <w:t>E. 4.4</w:t>
      </w:r>
    </w:p>
    <w:p>
      <w:r>
        <w:t>L'imputation de la détention a lieu,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(ATF 141 IV 236 consid. 3.3 p. 239 ; arrêts du Tribunal fédéral 6B_343/2015 du 2 février 2016 consid. 1.2.4 ; 6B_558/2013 du 13 décembre 2013 consid. 1.5 ; 6B_169/2012 du 25 juin 2012 consid. 6 ; 1B_179/2011 du 17 juin 2011 consid. 4.2).</w:t>
      </w:r>
    </w:p>
    <w:p>
      <w:r>
        <w:rPr>
          <w:b/>
        </w:rPr>
        <w:t>E. 4.5</w:t>
      </w:r>
    </w:p>
    <w:p>
      <w:r>
        <w:t>L'infraction à l'art. 119 al.1 LEtr, est passible d'une peine privative de liberté de trois ans au plus ou d'une peine pécuniaire, l'infraction à l'art. 115 al. 1 let. b LEtr d'une peine privative de liberté d'un an au plus ou d'une peine pécuniaire et l'infraction à l'art. 19a ch. 1 LStup est sanctionnée d'une amende.</w:t>
      </w:r>
    </w:p>
    <w:p>
      <w:r>
        <w:rPr>
          <w:b/>
        </w:rPr>
        <w:t>E. 6</w:t>
      </w:r>
    </w:p>
    <w:p>
      <w:r>
        <w:t>1. Conformément à l'art. 66a 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 CP (ATF 123 IV 107 consid. 1) – ne contredit pas l'interdiction de la double peine qui découle notamment de l'art. 6 CEDH ( AARP/202/2017 du 16 juin 2017 consid. 2.5). L'art. 66 a bis CP est une Kann-Vorschrift (Gregor MÜNCH et Fanny DE WECK, Die neue Landesverweisung in Art. 66a ff. StGB , Revue de l'avocat 2016, p. 165 ; G. FIOLKA / L. VETTERLI, Landesverweisung nach Art. 66a StGB als straf-rechtliche Sanktion , cahier spécial, Plaidoyer 5/2016, p. 86). Le juge est donc libre, sans autre justification, de renoncer à l'expulsion facultative (M. BUSSLINGER / P. UEBERSAX, Härtefallklausel und migrationsrechtliche Auswirkungen der Landesverweisung , cahier spécial, Plaidoyer 5/2016, p. 98). Cette disposition impose le respect du principe de proportionnalité. En d'autres termes, le juge doit faire une pesée des intérêts entre celui public à l'éloignement et la situation personnelle du condamné (G. FIOLKA / L. VETTERLI, op. cit. , p. 87 ; K. KÜMIN, Darf eine Aufenthaltsbewilligung widerrufen werden, nachdem von einer Landesverweisung abgesehen wurde ? , Jusletter 28 novembre 2016, p. 14). Concernant le premier volet, le juge doit se demander, si l'expulsion facultative est de nature à empêcher la commission de nouvelles infractions en Suisse (G. FIOLKA / L. VETTERLI, op. cit. ,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 p. 166 ; M. BUSSLINGER / P. UEBERSAX, op. cit., p. 97 et 103 ; K. KÜMIN, op. cit., p. 14 ; AARP/185/2017 du 2 juin 2017 consid. 2.2). Les critères déterminants mis en exergue par la jurisprudence rendue sur l'art. 8 CEDH sont applicables à la pesée des intérêts des art. 66a al. 2 et 66abis CP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 er décembre 2016 consid. 5.2 ; S. GRODECKI, Nouveautés en droit des sanctions : de la peine pécuniaire à l'expulsion , Conférence organisée par le Comité de la Société genevoise de droit et de législation, janvier 2017 ; G. MÜNCH / F. DE WECK, op. cit. , p. 166 ; AARP/179/2017 du 30 mai 2017 consid. 3.1.3). Les antécédents judiciaires antérieurs au 1 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À noter qu'entre la durée de la peine principale et celle de l'expulsion, une certaine concordance s'impose en principe. Si tel n'est pas le cas, l'autorité cantonale doit motiver sa décision (ATF 123 IV 107 consid. 3 et les références ; AARP/202/2017 du 16 juin 2017 consid. 2.5).</w:t>
      </w:r>
    </w:p>
    <w:p>
      <w:r>
        <w:rPr>
          <w:b/>
        </w:rPr>
        <w:t>E. 6.2</w:t>
      </w:r>
    </w:p>
    <w:p>
      <w:r>
        <w:t>A teneur des art. 62 al. 2 et 63 al. 3 LEtr, la révocation d'une autorisation de séjour en Suisse est illicite si celle-ci est fondée uniquement sur des infractions pour lesquelles un juge pénal a déjà prononcé une peine ou une mesure mais a renoncé à prononcer une expulsion.</w:t>
      </w:r>
    </w:p>
    <w:p>
      <w:r>
        <w:rPr>
          <w:b/>
        </w:rPr>
        <w:t>E. 6.3</w:t>
      </w:r>
    </w:p>
    <w:p>
      <w:r>
        <w:t>En l'espèce, l'appelant a, à juste titre, reconnu que la pesée d'intérêt faite par les premiers juges était correcte. Contrairement à ce qu'il affirme, son acquittement du chef de lésions corporelles simples n'a pas pour conséquence de rendre caduque cette analyse. Les infractions dont il s'est rendu coupable dans le cadre de cette procédure ne sont certes pas d'une grande gravité. Toutefois, l'appelant demeure en Suisse depuis mars 2013 sans titre de séjour valable, malgré une décision de renvoi entrée en force et de nombreuses condamnations. A cela s'ajoute qu'il a de nombreux antécédents, notamment en matière patrimoniale et de violence contre les autorités. Sa situation de précarité laisse fortement penser qu'il réitèrera ses agissements illicites, l'intéressé n'ayant pas d'opportunité d'améliorer ses conditions d'existence en Suisse. Il n'a pas non plus évoqué d'éléments s'opposant à son retour au N______, expliquant seulement ne plus y avoir de famille. Enfin, il a lui-même expliqué ne plus souhaiter demeurer en Suisse, se disant fatigué et stressé par la vie qu'il y mène. Ainsi, l'intérêt public à l'expulsion de l'appelant l'emporte sur son intérêt privé à demeurer en Suisse et semble être la seule mesure susceptible d'empêcher la commission de nouvelles infractions. Une expulsion d'une durée de cinq ans tient adéquatement compte de l'ensemble des critères mentionnés ci-dessus. Au surplus, l'argument du conseil de l'appelant en lien avec une possible violation de l'interdiction de la double sanction porte à faux. L'expulsion pénale et le renvoi administratif ne répondent pas aux mêmes critères et n'ont pas le même objet. Partant, le prononcé de l'une de ces mesures n'empêche pas, en parallèle, celui de l'autre. Le cas de figure d'une révocation illicite, par les autorités administratives, d'un titre de séjour en Suisse, fondée uniquement sur des infractions pour lesquelles l'autorité judiciaire a renoncé à prononcer une expulsion, ne s'applique pas au cas d'espèce. Enfin, il est constaté que la mesure administrative de renvoi, en force depuis le 15 mars 2013, n'a de loin pas dissuadé l'appelant de récidiver, ce qui illustre, s'il était utile, la nécessité de la mesure pénale, le principe de proportionnalité étant partant respecté. L'appel sera donc rejeté sur ce point et le jugement entrepris confirmé.</w:t>
      </w:r>
    </w:p>
    <w:p>
      <w:r>
        <w:rPr>
          <w:b/>
        </w:rPr>
        <w:t>E. 7</w:t>
      </w:r>
    </w:p>
    <w:p>
      <w:r>
        <w:t>L'appelant ayant été acquitté du chef de lésions corporelles simples, il en sera tenu compte dans le cadre de la répartition des frais de première instance, qui ne seront mis à sa charge que pour moitié (art. 426 CPP a contrario ). En ce qui concerne la procédure d'appel, ayant acquitté l'appelant d'un chef d'accusation et réduit sa peine, tout en refusant d'annuler la mesure d'expulsion, la Cour le condamnera au paiement d'un quart des frais (art. 428 CPP a contrario ).</w:t>
      </w:r>
    </w:p>
    <w:p>
      <w:r>
        <w:rPr>
          <w:b/>
        </w:rPr>
        <w:t>E. 8</w:t>
      </w:r>
    </w:p>
    <w:p>
      <w:r>
        <w:t>L'activité déployée par le défenseur d'office en appel est en adéquation avec la nature, l'importance et la difficulté de la cause, de sorte qu'elle sera prise en compte dans son intégralité. L'indemnité due sera arrêtée à CHF 2'006.65, correspondant à une activité d'une heure au tarif de CHF 65.-/heure et sept heures au tarif de CHF 200.-/heure plus la majoration forfaitaire de 20% (CHF 293.-), l'activité décomptée depuis l'ouverture de la procédure n'ayant pas dépassé 30 heures, ainsi que deux vacations (CHF 100.-) et la TVA y relative (CHF 148.65 au taux de 8% selon la pratique transitoire du Pouvoir judiciaire).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