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P/9824/2020 vom 24. September 2020</w:t>
      </w:r>
    </w:p>
    <w:p>
      <w:r>
        <w:t>GE Cour de justice, 2020-09-24, FR</w:t>
      </w:r>
    </w:p>
    <w:p>
      <w:r>
        <w:rPr>
          <w:b/>
        </w:rPr>
        <w:t xml:space="preserve">Quelle: </w:t>
      </w:r>
      <w:r>
        <w:t>https://mcp.opencaselaw.ch/entscheid/ge_gerichte_P_9824_2020</w:t>
      </w:r>
    </w:p>
    <w:p>
      <w:r>
        <w:t>FR: GE_GERICHTE P/9824/2020 du 24 septembre 2020</w:t>
      </w:r>
    </w:p>
    <w:p>
      <w:r>
        <w:t>IT: GE_GERICHTE P/9824/2020 del 24 settembre 2020</w:t>
      </w:r>
    </w:p>
    <w:p>
      <w:pPr>
        <w:pStyle w:val="Heading2"/>
      </w:pPr>
      <w:r>
        <w:t>Regeste</w:t>
      </w:r>
    </w:p>
    <w:p>
      <w:r>
        <w:t>DÉFENSE OBLIGATOIRE;DÉFENSE D'OFFICE;DÉNUEMENT | CPP.130; CPP.132.al1.letb</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réunir les conditions d'une défense d'office</w:t>
      </w:r>
    </w:p>
    <w:p>
      <w:r>
        <w:rPr>
          <w:b/>
        </w:rPr>
        <w:t>E. 2.1</w:t>
      </w:r>
    </w:p>
    <w:p>
      <w:r>
        <w:t>Un cas de défense obligatoire au sens de l'art. 130 CPP impose au prévenu l'assistance d'un défenseur, que celui-ci le soit à titre privé (cf. art. 129 CPP) ou désigné d'office (cf. art. 132 CPP). 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l'autorité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arrêt du Tribunal fédéral 1B_461/2016 du 9 février 2017 consid. 2.1.2). L'art. 132 al. 1 let. b CPP s'applique également à des cas de défense obligatoire autres que ceux de la lettre a, notamment lorsque le prévenu, qui disposait jusqu'alors d'un défenseur de choix, voit sa situation financière évoluer au point de ne plus disposer des moyens nécessaires à la rémunération de celui-ci (arrêt du Tribunal fédéral 1B_461/2016 précité, consid. 2.2.2).</w:t>
      </w:r>
    </w:p>
    <w:p>
      <w:r>
        <w:rPr>
          <w:b/>
        </w:rPr>
        <w:t>E. 2.2</w:t>
      </w:r>
    </w:p>
    <w:p>
      <w:r>
        <w:t>En l'espèce, le recourant, qui se trouve dans un cas de défense obligatoire au sens de l'art. 130 let. b CPP a choisi d'être assisté par un avocat de choix, M e B______, lors de sa première audition par la police et a désigné cette même avocate lorsque le Ministère public lui a demandé de lui communiquer le nom de son éventuel défenseur privé. Le recourant n'a, dès lors, jamais cessé d'être assisté par son avocat de choix et il l'est encore à ce jour. Alléguant un cas d'indigence, il a demandé à être mis au bénéfice d'une défense d'office, au sens de l'art. 132 al. 1 let. b CPP, afin que les honoraires de son avocat soient pris en charge par l'État. Le greffe de l'assistance juridique a toutefois conclu à l'absence d'indigence. Or, bien que se montrant surpris avec cette conclusion, le recourant n'expose pas en quoi les conclusions du préavis seraient erronées ou quels éléments de sa situation financière n'auraient pas été pris en compte. Partant, le prévenu étant pourvu d'un défenseur de choix et n'étant pas indigent, la situation est bel et bien similaire à celle de l' ACPR/393/2019 du 27 mai 2019, ayant donné lieu à l'arrêt du Tribunal fédéral 1B_294/2019 susmentionné. Les conditions de l'art. 132 al. 1 CPP n'étant pas remplies, c'est donc à bon droit que le Ministère public a refusé d'ordonner une défense d'office.</w:t>
      </w:r>
    </w:p>
    <w:p>
      <w:r>
        <w:rPr>
          <w:b/>
        </w:rPr>
        <w:t>E. 4</w:t>
      </w:r>
    </w:p>
    <w:p>
      <w:r>
        <w:t>Justifiée, l'ordonnance querellée sera ainsi confirmée.</w:t>
      </w:r>
    </w:p>
    <w:p>
      <w:r>
        <w:rPr>
          <w:b/>
        </w:rPr>
        <w:t>E. 5</w:t>
      </w:r>
    </w:p>
    <w:p>
      <w:r>
        <w:t>La procédure est gratuite (art. 20 RAJ).</w:t>
      </w:r>
    </w:p>
    <w:p>
      <w:r>
        <w:rPr>
          <w:b/>
        </w:rPr>
        <w:t>E. 6</w:t>
      </w:r>
    </w:p>
    <w:p>
      <w:r>
        <w:t>En tant qu'il succombe, le recourant ne se verra pas indemnisé pour ses frais de recours (art. 436 al. 2 a contrario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