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P/9822/2022 vom 15. September 2022</w:t>
      </w:r>
    </w:p>
    <w:p>
      <w:r>
        <w:t>GE Cour de justice, 2022-09-15, FR</w:t>
      </w:r>
    </w:p>
    <w:p>
      <w:r>
        <w:rPr>
          <w:b/>
        </w:rPr>
        <w:t xml:space="preserve">Quelle: </w:t>
      </w:r>
      <w:r>
        <w:t>https://mcp.opencaselaw.ch/entscheid/ge_gerichte_P_9822_2022</w:t>
      </w:r>
    </w:p>
    <w:p>
      <w:r>
        <w:t>FR: GE_GERICHTE P/9822/2022 du 15 septembre 2022</w:t>
      </w:r>
    </w:p>
    <w:p>
      <w:r>
        <w:t>IT: GE_GERICHTE P/9822/2022 del 15 settembre 2022</w:t>
      </w:r>
    </w:p>
    <w:p>
      <w:pPr>
        <w:pStyle w:val="Heading2"/>
      </w:pPr>
      <w:r>
        <w:t>Regeste</w:t>
      </w:r>
    </w:p>
    <w:p>
      <w:r>
        <w:t>ORDONNANCE DE NON-ENTRÉE EN MATIÈRE;ABUS DE CONFIANCE;GESTION DÉLOYALE | CPP.310; CP.138</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à l'appui du recours sont également recevables (arrêts du Tribunal fédéral 1B_368/2014 du 5 février 2015 consid. 3.1 et 3.2 ; 1B_768/2012 du 15 janvier 2013 consid. 2.1).</w:t>
      </w:r>
    </w:p>
    <w:p>
      <w:r>
        <w:rPr>
          <w:b/>
        </w:rPr>
        <w:t>E. 2</w:t>
      </w:r>
    </w:p>
    <w:p>
      <w:r>
        <w:t>La recourante estime qu'il existe une prévention suffisante des chefs d'abus de confiance (art. 138 CP) et de gestion déloyale (art. 158 CP)![endif]&gt;![if&gt;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2.2</w:t>
      </w:r>
    </w:p>
    <w:p>
      <w:r>
        <w:t>Aux termes de l'art. 138 ch. 1 al. 2 CP, celui qui, sans droit, aura employé à son profit ou au profit d'un tiers des valeurs patrimoniales qui lui avaient été confiées, sera puni d'une peine privative de liberté de cinq ans au plus ou d'une peine pécuniaire.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 s.).</w:t>
      </w:r>
    </w:p>
    <w:p>
      <w:r>
        <w:rPr>
          <w:b/>
        </w:rPr>
        <w:t>E. 2.3</w:t>
      </w:r>
    </w:p>
    <w:p>
      <w:r>
        <w:t>L’art. 158 ch. 1 CP réprime le comportement du gérant d’affaires – soit une personne bénéficiant d'un pouvoir de disposition autonome sur les biens qu’elle administre (arrêt du Tribunal fédéral 6B_819/2018 du 25 janvier 2019 consid. 3.6.1) – qui viole les devoirs de gestion auxquels il est tenu. L’art. 158 ch. 2 CP punit la personne qui abuse du pouvoir de représentation que lui confère la loi ou un acte juridique. L’étendue de cette représentation est fixée dans le cadre des rapports internes entre le représentant et le représenté. Le comportement punissable consiste, pour l’auteur, à agir, sur le plan externe, dans le cadre d’une relation avec autrui, en violation des règles internes fixées (A. MACALUSO / L. MOREILLON / N. QUELOZ (éds), Commentaire romand, Code pénal II , vol. II, Partie spéciale : art. 111-392 CP , Bâle 2017, n. 84 ad art. 158).</w:t>
      </w:r>
    </w:p>
    <w:p>
      <w:r>
        <w:rPr>
          <w:b/>
        </w:rPr>
        <w:t>E. 2.4</w:t>
      </w:r>
    </w:p>
    <w:p>
      <w:r>
        <w:t>En l'espèce, aux termes de sa plainte, la recourante reproche à la mise en cause d'avoir, par l'intermédiaire de son administrateur unique, dans le cadre du mandat de gérance immobilière qui lui était confié, encaissé des loyers pour son compte à elle, sans lui reverser la part du produit de location qui lui revenait. Elle soutient aussi que la mise en cause n'aurait pas effectué certaines tâches dont elle se serait pourtant acquittée et qu'elle se serait enrichie en facturant l'utilisation de la buanderie aux locataires, sans lui en rendre compte. Il est constant que les parties entretiennent une relation contractuelle depuis plusieurs années en lien avec des appartements dont la recourante est propriétaire et qu'une procédure les opposant est pendante par-devant les juridictions civiles, dans le cadre de laquelle se pose notamment la question de la qualification juridique du contrat. Au vu des infractions envisagées, des dispositions précitées et de la jurisprudence y relative, les faits tels que présentés par la recourante pourraient, à tout le moins, être constitutifs d'abus de confiance. Sur la base des explications de la recourante, l'infraction de gestion déloyale n'apparait pas non plus d'emblée exclue, la mise en cause semblant disposer d'une autonomie suffisante dans la gestion qui lui aurait été confiée. Ainsi, la décision du Ministère public parait prématurée à ce stade, ce d'autant plus en l'absence du moindre acte d'instruction, comme l'audition du représentant de la mise en cause. Il appartiendra donc au Ministère public de procéder aux actes d'enquêtes utiles à clarifier la situation. Partant, nul n'est besoin d'examiner le grief en lien avec une constatation inexacte des faits. Pour le surplus, il n'appartient pas non plus à la Chambre de céans d'examiner les faits dénoncés dans le cadre du complément de plainte du 21 juillet 2022, faute de décision préalable sur ce point.</w:t>
      </w:r>
    </w:p>
    <w:p>
      <w:r>
        <w:rPr>
          <w:b/>
        </w:rPr>
        <w:t>E. 3</w:t>
      </w:r>
    </w:p>
    <w:p>
      <w:r>
        <w:t>Fondé, le recours doit être admis ; partant, l'ordonnance querellée sera annulée et la cause retournée au Ministère public pour qu'il ouvre une instruction.![endif]&gt;![if&gt;</w:t>
      </w:r>
    </w:p>
    <w:p>
      <w:r>
        <w:rPr>
          <w:b/>
        </w:rPr>
        <w:t>E. 4</w:t>
      </w:r>
    </w:p>
    <w:p>
      <w:r>
        <w:t>L'admission du recours ne donne pas lieu à la perception de frais (art. 428 al. 1 CPP). Les sûretés versées par la recourante lui seront donc restituées. ![endif]&gt;![if&gt;</w:t>
      </w:r>
    </w:p>
    <w:p>
      <w:r>
        <w:rPr>
          <w:b/>
        </w:rPr>
        <w:t>E. 5</w:t>
      </w:r>
    </w:p>
    <w:p>
      <w:r>
        <w:t>Bien que représentée par un avocat, la recourante, partie plaignante, n'a pas chiffré ni justifié de prétentions en indemnité au sens de l'art. 433 al. 2 CPP, applicable en instance de recours (art. 436 al. 1 CPP), de sorte qu'il ne lui en sera point alloué (arrêt du Tribunal fédéral 6B_1345/2016 du 30 novembre 2017 consid. 7.2).![endif]&gt;![if&gt;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