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P/9816/2021 vom 14. Dezember 2021</w:t>
      </w:r>
    </w:p>
    <w:p>
      <w:r>
        <w:t>GE Cour de justice, 2021-12-14, FR</w:t>
      </w:r>
    </w:p>
    <w:p>
      <w:r>
        <w:rPr>
          <w:b/>
        </w:rPr>
        <w:t xml:space="preserve">Quelle: </w:t>
      </w:r>
      <w:r>
        <w:t>https://mcp.opencaselaw.ch/entscheid/ge_gerichte_P_9816_2021</w:t>
      </w:r>
    </w:p>
    <w:p>
      <w:r>
        <w:t>FR: GE_GERICHTE P/9816/2021 du 14 décembre 2021</w:t>
      </w:r>
    </w:p>
    <w:p>
      <w:r>
        <w:t>IT: GE_GERICHTE P/9816/2021 del 14 dicembre 2021</w:t>
      </w:r>
    </w:p>
    <w:p>
      <w:pPr>
        <w:pStyle w:val="Heading2"/>
      </w:pPr>
      <w:r>
        <w:t>Regeste</w:t>
      </w:r>
    </w:p>
    <w:p>
      <w:r>
        <w:t>SOUPÇON | CPP.310; CP.137; CP.138</w:t>
      </w:r>
    </w:p>
    <w:p>
      <w:pPr>
        <w:pStyle w:val="Heading2"/>
      </w:pPr>
      <w:r>
        <w:t>Erwägungen</w:t>
      </w:r>
    </w:p>
    <w:p>
      <w:r>
        <w:rPr>
          <w:b/>
        </w:rPr>
        <w:t>E. 1</w:t>
      </w:r>
    </w:p>
    <w:p>
      <w:r>
        <w:t>Le recours est recevable pour avoir été déposé selon la forme déposé selon la forme et – les formalités de notification n'ayant pas été respectées (art. 85 al. 2 CPP) – dans le délai prescrits (art.  385 al. 1 et 396 al. 1 CPP), conHer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d'avoir statué sans l'entendre préalablement. Il ne lui avait pas non plus transmis la documentation produite par les prévenus et versée au dossier.![endif]&gt;![if&gt;</w:t>
      </w:r>
    </w:p>
    <w:p>
      <w:r>
        <w:rPr>
          <w:b/>
        </w:rPr>
        <w:t>E. 2.1</w:t>
      </w:r>
    </w:p>
    <w:p>
      <w:r>
        <w:t>Si le ministère public considère qu'une ordonnance de non-entrée en matière doit être rendue, il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 et les références citées). La procédure de recours permet en effet aux parties de faire valoir tous leurs griefs – formels et matériels – auprès d'une autorité disposant d'une pleine cognition en fait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2.2</w:t>
      </w:r>
    </w:p>
    <w:p>
      <w:r>
        <w:t>Aussi, le Ministère public ne devait pas donner la possibilité au recourant de s'exprimer sur les déclarations des prévenus à la police avant de rendre son ordonnance. Le grief invoqué est infondé. Il n'appartenait pas davantage au Ministère public de lui communiquer les pièces produites par les prévenus. Celles-ci ont été versées au dossier de la procédure, laquelle est parfaitement consultable par les parties. Partant, le droit d'être entendu du recourant n'a pas été violé et il n'y a pas lieu d'ordonner au Ministère public de lui transmettre l'intégralité du dossier de la cause. Enfin, le recourant a parfaitement compris que le Ministère public n'entendait pas entrer en matière sur les infractions dénoncées. Sa motivation ne prête pas le flanc à la critique, quand bien même lesdites infractions n'y sont pas expressément mentionnées.</w:t>
      </w:r>
    </w:p>
    <w:p>
      <w:r>
        <w:rPr>
          <w:b/>
        </w:rPr>
        <w:t>E. 3</w:t>
      </w:r>
    </w:p>
    <w:p>
      <w:r>
        <w:t>Le recourant fait grief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 2ème éd., Bâle 2019, n. 10 ad art. 310). 3.2.1. Les art. 137 al. 1 CP (appropriation illégitime) et 138 al. 1 CP (abus de confiance) punissent le comportement de celui qui se sera approprié une chose mobilière appartenant à autrui. Sur le plan objectif, les deux premières de ces normes supposent, entre autres conditions, un acte d’appropriation, soit un comportement par lequel l'auteur incorpore économiquement l’objet à son propre patrimoine, pour le conserver, le consommer ou l'aliéner; il dispose alors de la chose comme s’il en était le propriétaire, sans pour autant en avoir la qualité. Le prévenu doit avoir la volonté, d'une part, de priver durablement le propriétaire de son objet, et, d'autre part, de s'approprier celui-ci, pour une certaine durée au moins (arrêt du Tribunal fédéral 6B_375/2020 du 9 juillet 2020 consid. 3.3). Subjectivement, le prévenu doit avoir agi intentionnellement (M. DUPUIS/ L. MOREILLON/ C. PIGUET/ S. BERGER/ M. MAZOU/ V. RODIGARI (éds), Code pénal - Petit commentaire , 2e éd., Bâle 2017, n. 10 ad art. 137, n. 43 ad art. 138 et n. 13 ad art. 139). L’intention doit exister au moment de l’acte (principe de la concomitance; L. MOREILLON/ A. MACALUSO/ N. QUELOZ/ N. DONGOIS (éds), Commentaire romand, Code pénal I, art. 1-110 CP , 2ème éd., Bâle 2020, n. 29 ad art. 12). L’auteur doit également agir dans un dessein d’enrichissement illégitime. Tel est le cas si cet enrichissement est acquis de façon contraire à l’ordre juridique. 3.2.2. L'art. 141 CP punit quiconque, sans dessein d'appropriation, aura soustrait une chose mobilière à l'ayant droit et lui aura causé, par-là, un préjudice considérable. Cette dernière notion, qui est sujette à appréciation et est susceptible de varier selon les occurrences, vise à exclure les cas bagatelles (M. DUPUIS/ B. GELLER/ G. MONNIER/ L. MOREILLON/ C. PIGUET/ C. BETTEX /D. STOLL (éds), Code pénal - Petit commentaire , Bâle 2012, n. 9 ad art. 141).</w:t>
      </w:r>
    </w:p>
    <w:p>
      <w:r>
        <w:rPr>
          <w:b/>
        </w:rPr>
        <w:t>E. 3.3</w:t>
      </w:r>
    </w:p>
    <w:p>
      <w:r>
        <w:t>En l'espèce, B______, D______ et E______ ont contesté les faits reprochés. L'association était dotée de statuts et d'un règlement interne, sa comptabilité était régulièrement tenue et son budget était soumis pour approbation aux assemblées générale, ce qui était corroboré par les différents pièces produites. Le recourant ne démontre pas que certaines dépenses effectuées par les prévenus en leur faveur l'auraient été à l'insu des membres de l'association et en violation des règles de cette dernière. Le cas échéant, toute contestation des décisions prises à l'assemblée générale serait du ressort des juridictions civiles. Or, le recourant n'établit pas avoir agi en ce sens au civil et obtenu gain de cause. Il n'existe donc à ce stade aucune prévention d'une quelconque infraction pénale, étant relevé que sa requête en annulation de la décision de l'association du 7 octobre 2020 conHe un complexe de fait tout autre n'ayant aucune connotation pénale. Il prétend pour la première fois dans son recours que les pièces produites par les mis en cause, dont le règlement de l'association, serait un faux destiné à couvrir leurs "actes illicites" . Le recourant s'étant plaint de n'avoir pas eu connaissance desdites pièces, on peut se demander ce qui l'autorise à les qualifier de faux. Indépendamment de la question de savoir si le règlement précité pourrait constituer un titre au sens des art. 110 al. 4 et 251 CP, force est de constater que les allégués du recourant ne reposent sur aucun élément objectif probant. Faute de soupçon suffisant, on ne voit pas quel acte d'instruction aurait dû accomplir le Ministère public pour s'assurer de la véracité dudit document. Les griefs du recourant, y compris celui contestant la validité du nouveau règlement du 28 avril 2021, sont de nature exclusivement civiles, comme l'a relevé à juste titre le Ministère public. Partant, on ne décèle aucune appréciation arbitraire des faits de la part de cette autorité.</w:t>
      </w:r>
    </w:p>
    <w:p>
      <w:r>
        <w:rPr>
          <w:b/>
        </w:rPr>
        <w:t>E. 4</w:t>
      </w:r>
    </w:p>
    <w:p>
      <w:r>
        <w:t>Le recours sera rejeté.</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