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P/9756/2019 vom 25. September 2019</w:t>
      </w:r>
    </w:p>
    <w:p>
      <w:r>
        <w:t>GE Cour de justice, 2019-09-25, FR</w:t>
      </w:r>
    </w:p>
    <w:p>
      <w:r>
        <w:rPr>
          <w:b/>
        </w:rPr>
        <w:t xml:space="preserve">Quelle: </w:t>
      </w:r>
      <w:r>
        <w:t>https://mcp.opencaselaw.ch/entscheid/ge_gerichte_P_9756_2019</w:t>
      </w:r>
    </w:p>
    <w:p>
      <w:r>
        <w:t>FR: GE_GERICHTE P/9756/2019 du 25 septembre 2019</w:t>
      </w:r>
    </w:p>
    <w:p>
      <w:r>
        <w:t>IT: GE_GERICHTE P/9756/2019 del 25 settembre 2019</w:t>
      </w:r>
    </w:p>
    <w:p>
      <w:pPr>
        <w:pStyle w:val="Heading2"/>
      </w:pPr>
      <w:r>
        <w:t>Regeste</w:t>
      </w:r>
    </w:p>
    <w:p>
      <w:r>
        <w:t>VIOLENCE DOMESTIQUE | cpp.310; cp.123; cp.126</w:t>
      </w:r>
    </w:p>
    <w:p>
      <w:pPr>
        <w:pStyle w:val="Heading2"/>
      </w:pPr>
      <w:r>
        <w:t>Erwägungen</w:t>
      </w:r>
    </w:p>
    <w:p>
      <w:r>
        <w:rPr>
          <w:b/>
        </w:rPr>
        <w:t>E. 1.1</w:t>
      </w:r>
    </w:p>
    <w:p>
      <w:r>
        <w:t>Le recours est recevable pour avoir été déposé selon la forme et dans le délai prescrits (art. 385 al. 1 et 396 al. 1 CPP) — les formalités de notification (art. 85 al. 2 CPP) n'ayant pas été observées — concerner une ordonnance sujette à recours auprès de la Chambre de céans (art. 393 al. 1 let. a CPP) et émaner de la partie plaignante qui, partie à la procédure (art. 104 al. 1 let. b CPP), a qualité pour agir, ayant un intérêt juridiquement protégé à la modification ou à l'annulation de la décision querellée (art. 382 al. 1 CPP).![endif]&gt;![if&gt;</w:t>
      </w:r>
    </w:p>
    <w:p>
      <w:r>
        <w:rPr>
          <w:b/>
        </w:rPr>
        <w:t>E. 1.2</w:t>
      </w:r>
    </w:p>
    <w:p>
      <w:r>
        <w:t>. Les pièces nouvelles produites à l'appui de cet acte sont également recevables, la jurisprudence admettant la production de faits et de moyens de preuve nouveaux en deuxième instance (arrêts du Tribunal fédéral 1B_368/2014 du 5 février 2015 consid. 3.1 et 3.2 et 1B_768/2012 du 15 janvier 2013 consid. 2.1).</w:t>
      </w:r>
    </w:p>
    <w:p>
      <w:r>
        <w:rPr>
          <w:b/>
        </w:rPr>
        <w:t>E. 2</w:t>
      </w:r>
    </w:p>
    <w:p>
      <w:r>
        <w:t>La Chambre pénale de recours peut décider d'emblée de traiter sans échange d'écritures ni débats les recours manifestement mal fondés (art. 390 al. 2 et 5 a contrario CPP). Tel est le cas en l'occurrence, au vu des considérations qui suivent.![endif]&gt;![if&gt;</w:t>
      </w:r>
    </w:p>
    <w:p>
      <w:r>
        <w:rPr>
          <w:b/>
        </w:rPr>
        <w:t>E. 3</w:t>
      </w:r>
    </w:p>
    <w:p>
      <w:r>
        <w:t>Le recourant reproche au Ministère public de ne pas être entré en matière sur sa plainte.![endif]&gt;![if&gt;</w:t>
      </w:r>
    </w:p>
    <w:p>
      <w:r>
        <w:rPr>
          <w:b/>
        </w:rPr>
        <w:t>E. 3.1</w:t>
      </w:r>
    </w:p>
    <w:p>
      <w:r>
        <w:t>Selon l'art. 310 al. 1 let. a CPP, le ministère public rend immédiatement une ordonnance de non-entrée en matière s'il ressort de la dénonciation ou du rapport de police que les éléments constitutifs de l'infraction ou les conditions à l'ouverture de l'action pénale ne sont manifestement pas réunis. Le ministère public doit être certain que les faits ne sont pas punissables (ATF 137 IV 285 consid. 2.3 et les références citées). Le principe "in dubio pro duriore" découle du principe de la légalité (art. 5 al. 1 Cst. et 2 al. 2 CPP en relation avec les art. 19 al. 1 et 324 CPP ; ATF 138 IV 86 consid. 4.2 ; arrêt du Tribunal fédéral 6B_185/2016 du 30 novembre 2016 consid. 2.1.2 et les références citées). Il signifie qu'en principe, un classement ou une non-entrée en matière ne peuvent être prononcés par le ministère public que lorsqu'il apparaît clairement que les faits ne sont pas punissables ou que les conditions à la poursuite pénale ne sont pas remplies. Des motifs de fait peuvent justifier la non-entrée en matière. Il s'agit des cas où la preuve d'une infraction, soit de la réalisation en fait de ses éléments constitutifs, n'est pas apportée par les pièces dont dispose le ministère public. Il faut que l'insuffisance de charges soit manifeste. De plus, le Procureur doit examiner si une enquête, sous une forme ou sous une autre, serait en mesure d'apporter des éléments susceptibles de renforcer les charges contre la personne visée. Ce n'est que si aucun acte d'enquête ne paraît pouvoir amener des éléments susceptibles de renforcer les charges contre la personne visée que le ministère public peut rendre une ordonnance de non-entrée en matière. En cas de doute sur la possibilité d'apporter ultérieurement la preuve des faits en question, la non-entrée en matière est exclue (A. KUHN / Y. JEANNERET (éds), Commentaire romand : Code de procédure pénale suisse , Bâle 2011 n. 9 ad art. 310 ; R. PFISTER-LIECHTI (éd.), La procédure pénale fédérale , Fondation pour la formation continue des juges suisses, Berne 2010, p. 62 ; DCPR/85/2011 du 27 avril 2011). Le ministère public et l'autorité de recours disposent, dans ce cadre, d'un certain pouvoir d'appréciation. La procédure doit se poursuivre lorsqu'une condamnation apparaît plus vraisemblable qu'un acquittement ou lorsque les probabilités d'acquittement et de condamnation apparaissent équivalentes, en particulier en présence d'infraction grave (ATF 143 IV 241 consid. 2.2.1; ATF 138 IV 86 consid. 4.1.2; ATF 137 IV 285 consid. 2.5; arrêts du Tribunal fédéral 6B_417/2017 du 10 janvier 2018 consid. 2.1.2 ; 6B_185/2016 du 30 novembre 2016 consid. 2.1.2 et les références citées).</w:t>
      </w:r>
    </w:p>
    <w:p>
      <w:r>
        <w:rPr>
          <w:b/>
        </w:rPr>
        <w:t>E. 3.2</w:t>
      </w:r>
    </w:p>
    <w:p>
      <w:r>
        <w:t>L'art. 123 CP réprime les lésions du corps humain ou de la santé qui ne peuvent être qualifiées de graves au sens de l'art. 122 CP. Cette disposition protège l'intégrité corporelle et la santé tant physique que psychique. Elle implique une atteinte importante aux biens juridiques ainsi protégés. À titre d'exemples, la jurisprudence cite l'administration d'injections, la tonsure totale et tout acte qui provoque un état maladif, l'aggrave ou en retarde la guérison, comme les blessures, les meurtrissures, les écorchures ou les griffures, sauf si ces lésions n'ont pas d'autres conséquences qu'un trouble passager et sans importance du sentiment de bien-être (ATF 134 IV 189 consid. 1.1 p. 191 et les références citées ; plus récemment arrêt du Tribunal fédéral 6B_1283/2018 du 14 février 2019 consid. 2.1). Les voies de fait, réprimées par l'art. 126 CP, se définissent comme des atteintes physiques qui excèdent ce qui est socialement toléré et qui ne causent ni lésions corporelles, ni dommage à la santé. Une telle atteinte peut exister même si elle n'a causé aucune douleur physique (ATF 119 IV 25 consid. 2a p. 26 ; ATF 117 IV 14 consid. 2a p. 15 ss). Une éraflure au nez avec contusion a été considérée comme une voie de fait ; de même une meurtrissure au bras et une douleur à la mâchoire sans contusion (ATF 134 IV 189 consid. 1.3 p. 191 et les référence citées).</w:t>
      </w:r>
    </w:p>
    <w:p>
      <w:r>
        <w:rPr>
          <w:b/>
        </w:rPr>
        <w:t>E. 3.3</w:t>
      </w:r>
    </w:p>
    <w:p>
      <w:r>
        <w:t>Le comportement de l'auteur de l'infraction doit être la cause naturelle et adéquate des lésions corporelles simples subies par la victime (B. CORBOZ, Les infractions en droit suisse , vol. I, 3ème éd., Berne 2010, n. 16 ad art. 123 CP). L'infraction est intentionnelle, cette intention devant porter sur tous les éléments constitutifs de l'infraction, le dol éventuel étant toutefois suffisant (ATF 119 IV 1 consid. 5a; ATF 103 IV 65 consid. 1.2).</w:t>
      </w:r>
    </w:p>
    <w:p>
      <w:r>
        <w:rPr>
          <w:b/>
        </w:rPr>
        <w:t>E. 3.4</w:t>
      </w:r>
    </w:p>
    <w:p>
      <w:r>
        <w:t>La poursuite a lieu d'office si l'auteur est le conjoint de la victime et que l'atteinte a été commise durant le mariage (art. 123 al. 2 et 126 al. 2 let. b CP).</w:t>
      </w:r>
    </w:p>
    <w:p>
      <w:r>
        <w:rPr>
          <w:b/>
        </w:rPr>
        <w:t>E. 3.5</w:t>
      </w:r>
    </w:p>
    <w:p>
      <w:r>
        <w:t>En l'espèce, le recourant a produit un certificat médical datant du 29 janvier 2018, faisant état d'une abrasion à l'œil. Le document ne mentionne toutefois pas la cause de cette lésion de sorte qu'elle ne saurait être attribuée sans doute possible à la mise en cause, ce d'autant qu'elle conteste en être à l'origine. De même, ses troubles psychiques semblent découler de ses problèmes cardiaques. La mise en cause a reconnu avoir heurté le visage de son époux avec sa canne le 28 janvier 2019, expliquant toutefois que celui-ci lui avait saisi le bras et que c'est en tentant de se dégager qu'elle l'avait touché. Il n'apparait donc pas qu'elle ait eu l'intention de porter atteinte au recourant. Pour le surplus, les certificats médicaux produits ne constatent pas les lésions dénoncées, et les accusations du recourant ne reposent que sur ses déclarations, que son épouse conteste. Ainsi, aucun autre acte d'instruction n'apparait propre à objectiver ses propos, le recourant ne faisant notamment pas état de témoins qui auraient assisté aux faits. Enfin, les autres griefs rapportés ne sont pas constitutifs d'infraction pénale. C'est donc à bon droit que le Ministère public n'est pas entré en matière sur sa plainte. En tout état, le recourant, qui sollicite des mesures protectrices de l'union conjugale, semble plutôt chercher une solution au conflit conjugal qui dure depuis plusieurs années. La Chambre de céans n'est toutefois pas compétente pour ordonner ces mesures, et il sera renvoyé à agir par-devant le Tribunal civil.</w:t>
      </w:r>
    </w:p>
    <w:p>
      <w:r>
        <w:rPr>
          <w:b/>
        </w:rPr>
        <w:t>E. 4</w:t>
      </w:r>
    </w:p>
    <w:p>
      <w:r>
        <w:t>Justifiée, l'ordonnance querellée sera donc confirmée.![endif]&gt;![if&gt;</w:t>
      </w:r>
    </w:p>
    <w:p>
      <w:r>
        <w:rPr>
          <w:b/>
        </w:rPr>
        <w:t>E. 5</w:t>
      </w:r>
    </w:p>
    <w:p>
      <w:r>
        <w:t>Le recourant a sollicité l'octroi de l'assistance judiciaire. Sa cause était toutefois dénuée de toute chance de succès, de sorte que sa requête ne peut qu'être rejetée (art. 136 al. 1 let. b CPP; arrêt du Tribunal fédéral 1B_173/2014 du 17 juillet 2014 consid. 3.1.1).![endif]&gt;![if&gt;</w:t>
      </w:r>
    </w:p>
    <w:p>
      <w:r>
        <w:rPr>
          <w:b/>
        </w:rPr>
        <w:t>E. 6</w:t>
      </w:r>
    </w:p>
    <w:p>
      <w:r>
        <w:t>Le recourant, qui succombe, supportera les frais envers l'État, qui seront fixés en totalité à CHF 500.- (art. 428 al. 1 CPP et 13 al. 1 du Règlement fixant le tarif des frais en matière pénale, RTFMP ; E 4 10.03).![endif]&gt;![if&gt; La décision sur l'assistance juridique est rendue sans frais (art. 20 RAJ). * * * *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