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P/9735/2017 vom 2. Juli 2018</w:t>
      </w:r>
    </w:p>
    <w:p>
      <w:r>
        <w:t>GE Cour de justice, 2018-07-02, FR</w:t>
      </w:r>
    </w:p>
    <w:p>
      <w:r>
        <w:rPr>
          <w:b/>
        </w:rPr>
        <w:t xml:space="preserve">Quelle: </w:t>
      </w:r>
      <w:r>
        <w:t>https://mcp.opencaselaw.ch/entscheid/ge_gerichte_P_9735_2017</w:t>
      </w:r>
    </w:p>
    <w:p>
      <w:r>
        <w:t>FR: GE_GERICHTE P/9735/2017 du 2 juillet 2018</w:t>
      </w:r>
    </w:p>
    <w:p>
      <w:r>
        <w:t>IT: GE_GERICHTE P/9735/2017 del 2 luglio 2018</w:t>
      </w:r>
    </w:p>
    <w:p>
      <w:pPr>
        <w:pStyle w:val="Heading2"/>
      </w:pPr>
      <w:r>
        <w:t>Regeste</w:t>
      </w:r>
    </w:p>
    <w:p>
      <w:r>
        <w:t>VIOLENCE CONTRE LES AUTORITÉS ; VIOLATION DE DOMICILE ; VOL(DROIT PÉNAL) ; INFRACTION D'IMPORTANCE MINEURE ; SÉJOUR ILLÉGAL ; EXPULSION(DROIT PÉNAL) ; IN DUBIO PRO REO ; COAUTEUR(DROIT PÉNAL) ; CONDAMNATION ; DROIT DE GARDER LE SILENCE ; RÉCIDIVE(INFRACTION) ; CONCOURS D'INFRACTIONS ; PEINE COMPLÉMENTAIRE ; PRONOSTIC ; DÉFENSE D'OFFICE | CP.285.al1.ch1; CP.139; CP.186; LEtr.115.al1.letb</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 M. HEER / H. WIPRÄCHTIGER [éds], Strafprozessordnung / Jugendstrafprozess-ordnung, Basler Kommentar StPO/JStPO, 2ème éd., Bâle 2014, n. 83 ad art. 11).</w:t>
      </w:r>
    </w:p>
    <w:p>
      <w:r>
        <w:rPr>
          <w:b/>
        </w:rPr>
        <w:t>E. 3</w:t>
      </w:r>
    </w:p>
    <w:p>
      <w:r>
        <w:t>3.1.1. Selon l'art. 172 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 266). C'est l'intention de l'auteur qui est déterminante, et non le résultat obtenu. Lorsque l'auteur n'envisage d'emblée de ne se procurer qu'un élément patrimonial de faible valeur ou de ne causer qu'un dommage de moindre importance, l'art. 172 ter CP est applicable. Si l'auteur a dû se contenter d'un montant de moins de CHF 300.-, il ne peut bénéficier de la disposition précitée si son intention était d'obtenir davantage. Le dol éventuel suffit (ATF 123 IV 155 consid. 1a p. 156 ; arrêt du Tribunal fédéral 6B_316/2009 du 21 juillet 2009 consid. 3.3). 3.1.2.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ATF 125 IV 134 consid. 3a p. 136). La jurisprudence exige même que le coauteur ait une certaine maîtrise des opérations et que son rôle soit plus ou moins indispensable (arrêts du Tribunal fédéral 6B_1015/2017 du 13 mars 2018 consid. 2.1 ; 6B_673/2016 du 29 décembre 2017 consid. 5.1 ; 6B_419/2016 du 10 avril 2017 consid. 2.2 ; 6B_645/2007 du 2 mai 2008 consid. 7.3.4.5 = SJ 2008 I 373). Ce concept de coactivité montre qu'une personne peut être considérée comme auteur d'une infraction, même si elle n'en est pas l'auteur direct, c'est-à-dire si elle n'a pas accompli elle-même tous les actes décrits dans la disposition pénale (ATF 120 IV 17 consid. 2d p. 23 s.). 3.1.3. L'appelant ne conteste à juste titre pas sa culpabilité pour vol d'importance mineure (139 cum 172 ter CP – cas H______ et G______) et pour violation de domicile (186 CP – mêmes occurrences), laquelle repose sur les circonstances de son interpellation, les interdictions d'entrer produites par les deux parties plaignantes et ses aveux (160 CPP). Ses affirmations relatives au vol dénoncé par C______ sont contestées par la représentante de ce magasin qui a bien vu deux hommes, dont le prévenu qu'elle a reconnu sur photo et dont le profil ADN était sur l'un des antivols arraché, entrer et emmener deux vestes dans une seule et même cabine, l'un d'eux étant surpris en train d'arracher un antivol avec ses dents. La plaignante a également précisé le fait que chacun des auteurs avait revêtu l'objet convoité sous sa propre veste, ce qui correspondait à l'état dans lequel l'appelant a été interpellé. Il y a ainsi lieu d'accorder davantage de crédibilité aux déclarations de la plaignante qu'à celles de l'appelant qui conteste toute coactivité, manifestement dans le but d'éviter une poursuite à son comparse, ainsi que sa propre condamnation pour un délit et non pas une contravention. Sa condamnation pour le vol de ces deux vestes, d'une valeur globale de près de CHF 600.-, sera partant confirmée.</w:t>
      </w:r>
    </w:p>
    <w:p>
      <w:r>
        <w:rPr>
          <w:b/>
        </w:rPr>
        <w:t>E. 3.2</w:t>
      </w:r>
    </w:p>
    <w:p>
      <w:r>
        <w:t>L'art. 285 CP punit notamment celui qui, en usant de violence ou de menace, empêche une autorité, un membre d'une autorité ou un fonctionnaire de faire un acte entrant dans ses fonctions, les contraint à faire un tel acte ou s'est livré à des voies de fait sur eux pendant qu'ils y procédaient.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Le second comportement typique consiste à contraindre une autorité, un membre d'une autorité ou un fonctionnaire à faire un acte contre son gré en ayant recours à la violence ou à la menace (M. DUPUIS / L. MOREILLON / C. PIGUET / S. BERGER / M. MAZOU / V. RODIGARI, Petit commentaire du Code pénal , 2 ème édition, n. 11 ad art. 285). La menace correspond à celle de l'art. 181 CP, même s'il n'est pas précisé qu'elle doit porter sur un dommage sérieux (arrêt du Tribunal fédéral 6B_257/2010 du 5 octobre 2010 consid. 5.1 ; B. CORBOZ, Les infractions en droit suisse , Vol. II, 3e éd., Berne 2010, n. 5 ad art. 285 CP). Le fait de demander à un préposé à l'office des poursuites et faillite s'il "aimait sa vie" en sortant en même temps un couteau de cuisine est constitutif de menace au sens de l'art. 285 CP (M. NIGGLI / M. HEER / H. WIPRÄCHTIGER , Basler Kommentar Schweizerische Strafprozessordnung : Art. 196-457 StPO, Jugend-strafprozessordnung : Art. 1-54 JStPO, 2e éd., Bâle 2014, n. 11 ad art. 285 CPP).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w:t>
      </w:r>
    </w:p>
    <w:p>
      <w:r>
        <w:rPr>
          <w:b/>
        </w:rPr>
        <w:t>E. 3.3</w:t>
      </w:r>
    </w:p>
    <w:p>
      <w:r>
        <w:t>L'appelant prétend pour l'épisode du 30 avril 2017 avoir été victime des agissements des agents de détention, qui l'auraient frappé en entrant dans sa cellule et des affabulations connues chez l'agent F______. Ce dernier a, de manière constante et avec précision décrit le déroulement des faits dans son rapport dressé le même jour, depuis le moment où, dans un esprit chicanier, le détenu n'a pas voulu sortir de la douche. Finalement ramené à sa cellule, contrarié, l'appelant, a proféré le mot " zobi ", également entendu par son collègue et compris comme une injure. L'appelant s'est énervé en apprenant quelques minutes plus tard qu'il serait sanctionné par trois jours de promenade en commun en raison de sa grossièreté. Manifestement en représailles il a actionné, après le départ du gardien, la sonnette destinée aux urgences médicales pour une simple défectuosité de la lampe des WC de sa cellule. À nouveau, il n'a manifestement pas apprécié que l'intimé lui rappelle que ladite sonnette n'était pas destinée à un tel usage et alors même que celui-ci lui annonçait qu'il ferait le nécessaire pour la lampe, l'appelant l'a insulté en ces mots : " nik-mok, zobi, fils de pute, connard, si t'es un homme, viens " avant de venir contre lui d'un air menaçant. L'agent de détention, seul, étant dans l'impossibilité de le raisonner, l'a repoussé à l'intérieur de la cellule. Cet incident justifiant le transfert de ce détenu en cellule forte, l'intimé F______ et son collègue sont retournés dans la cellule, moment auquel ils ont été menacés d'un couteau de cuisine, voire, en sus, d'une fourchette dont l'intimé F______ a parlé lors de l'audience de première instance. Se sentant menacés, les deux agents ont refermé la porte et fait appel à des renforts pour procéder au transfert de l'appelant en cellule forte et à sa fouille, intervenus sous la contrainte. L'appelant n'étaie nullement les coups qu'il aurait reçus de la part des agents de détention et au demeurant ne prétend pas avoir été blessé. Il n'a pas davantage déposé plainte à leur rencontre, comprenant au contraire que leur action était justifiée et proportionnée à la menace qu'il représentait pour eux. Sa version des faits, dont il n'a donné aucun détail au cours de la procédure manque singulièrement de crédibilité. Même à considérer que le couteau en question avait une lame à bout rond et était autorisé en cellule pour la prise des repas, de même qu'une fourchette, et que l'appelant l'aurait simplement saisi et brandi du fond de sa cellule, cela n'enlève pas sa qualité d'objet tranchant et partant, potentiellement dangereux. Enfin, l'on ne saisit pas pour quelle raison l'intimé et son collègue auraient fait appel à du renfort pour placer l'appelant en cellule forte, si ce n'est en raison de son comportement injurieux et violent alors qu'il se trouvait encore dans sa cellule. L'intimé n'a pas cherché à accabler l'appelant, qualifiant son comportement " en dent-de-scie ", mais avec lequel il n'avait eu que rarement des problèmes et n'a manifestement retiré aucun avantage de sa dénonciation. Il en résulte que les éléments au dossier constituent un faisceau d’indices suffisamment fort pour qu’il soit retenu que les faits dénoncés par l'intimé se sont bien déroulés comme exposés dans l'acte d'accusation. Ces faits correspondent bien à la qualification juridique de violence ou menace contre les autorités et les fonctionnaires.</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4.1.2. La bonne collaboration à l'enquête peut constituer un élément favorable pour la fixation de la peine dans le cadre ordinaire de l'art. 47 CP. Un geste isolé ou dicté par l'approche du procès pénal ne suffit pas (ATF 107 IV 98 consid. 1 p. 99). 4.1.3.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L'exercice, par le prévenu, de son droit au silence ne saurait justifier une aggravation de la sanction, à moins que l'on puisse déduire une absence de remords et de prise de conscience de sa faute (ATF 129 IV 6 consid. 6.1 p. 20 ; arrêts du Tribunal fédéral 6B_1299/2016 du 27 septembre 2017 consid. 2.3.4 ; 6B_740/2016 du 2 juin 2017 consid. 1). 4.1.4. La récidive joue un rôle très important dans la fixation de la peine (M. NIGGLI / H. WIPRÄCHTIGER, Basler Kommentar Strafrecht I : Art. 1-110 StGB, Jugendstrafgesetz ,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4.2.1.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4.2.2. Le nouveau droit des sanctions, entré en vigueur le 1 er janvier 2018, permet le prononcé d’une peine privative de liberté même courte, si elle paraît justifiée pour détourner l’auteur d’autres crimes ou s’il y a lieu de craindre qu’une peine pécuniaire ne puisse pas être exécutée, sans que les conditions du sursis doivent être exclues, comme le prévoit l’art. 41 al. 1 CP. Il est ainsi plus sévère sur ce plan et ne sera par conséquent pas pris en considération (art. 2 al. 2 CP). 4.2.3.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4.3.1 p. 58). 4.2.4.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ATF 142 IV 265 consid. 2.3.3 p. 268 = JdT 2017 IV 129).</w:t>
      </w:r>
    </w:p>
    <w:p>
      <w:r>
        <w:rPr>
          <w:b/>
        </w:rPr>
        <w:t>E. 4.3</w:t>
      </w:r>
    </w:p>
    <w:p>
      <w:r>
        <w:t>En l'espèce, la faute de l'appelant est de gravité moyenne. Détenu, il a menacé deux gardiens avec des couverts, les contraignant à user de la force pour l'emmener en cellule forte et procéder à sa fouille. Ses agissements envers les agents de détention sont blâmables et mus par sa contrariété d'avoir eu à écourter sa douche, voire sa volonté à chercher la confrontation avec un agent pourtant amène à son égard. Il a volontairement ignoré deux interdictions d'entrée dans les magasins G______ et H______, dont il connaissait la teneur, et ce, dans le but égoïste de dérober un jeans de marque et des chaussures. Il a par ailleurs, en coactivité avec un comparse, dérobé deux vestes de marque d'une valeur globale de plus de CHF 550.-. Dans la mesure où il portait déjà une veste au moment de ce vol, il n'a pas agi simplement par besoin de se vêtir, ayant au contraire porté délibérément son choix sur des vêtements d'une certaine valeur. Sa collaboration peut être qualifiée de moyenne, dans la mesure où il a certes admis les infractions contre le patrimoine et à la LEtr, qu'il lui eût néanmoins été difficile de contester vu les circonstances de son interpellation et la découverte de son profil ADN sur l'antivol arraché de l'une des vestes dérobées. Il persiste en appel à contester les infractions les plus conséquentes de menace ou violence contre les autorités et les fonctionnaires et de vol, contestant le montant du butin et partant la qualification de délit – pour la deuxième veste – et refusant de donner les éléments permettant d'identifier son comparse. Sa prise de conscience est très partielle. Sa situation personnelle n'est assurément pas favorable, mais elle n'excuse pas de s'en prendre à des gardiens, ni de pénétrer dans des magasins pour commettre des vols d'habits, ce qui tient à sa seule volonté de demeurer en Suisse en toute illégalité. Le concours entre les délits dont l'appelant a été reconnu coupable entraine l'aggravation de la peine de l'infraction la plus grave, soit le vol. Arrivé en Suisse en juin 2015, il a déjà été condamné à deux reprises pour des infractions contre le patrimoine. Ses deux plus récentes condamnations ont démontré qu'il peut se montrer violent pour parvenir à ses fins. Ses précédentes interpellations, pas plus que les peines prononcées, dont la dernière pourtant lourde, n'ont manifestement pas eu d'impact sur les intentions délictuelles de l'appelant, en particulier s'agissant des vols subséquents et du séjour illégal en Suisse. Vu le manque d'effet des condamnations précédentes, auxquelles s'ajoute une situation personnelle précaire et l'absence de tout revenu avéré autre que celui provenant d'infractions conte le patrimoine, le pronostic de l'appelant est clairement défavorable, ce qu'il ne conteste d'ailleurs pas en appel. Seule une peine privative de liberté ferme est appropriée. La quotité de 15 mois retenue par le premier juge s'avère adaptée à la faute et à la situation personnelle de l'appelant, de sorte qu'elle sera confirmée. Elle tient compte de ce qu'elle est complémentaire à celles prononcées le 23 janvier et le 24 mai 2017.</w:t>
      </w:r>
    </w:p>
    <w:p>
      <w:r>
        <w:rPr>
          <w:b/>
        </w:rPr>
        <w:t>E. 5</w:t>
      </w:r>
    </w:p>
    <w:p>
      <w:r>
        <w:t>L'expulsion fondée sur l'art. 66a bis CP n'est pas contestée en appel, à juste titre au vu de la réalisation de ses deux conditions cumulatives que sont la commission d'un délit et le prononcé d'une peine. La pesée des intérêts commande par ailleurs l'application de l'art. 66a bis CP au cas d'espèce, pour les motifs retenus par le premier juge que la CPAR fait siens (art. 82 al. 4 CPP et arrêt du Tribunal fédéral 6B_1340/2016 du 29 décembre 2017 consid. 2.1).</w:t>
      </w:r>
    </w:p>
    <w:p>
      <w:r>
        <w:rPr>
          <w:b/>
        </w:rPr>
        <w:t>E. 6</w:t>
      </w:r>
    </w:p>
    <w:p>
      <w:r>
        <w:t>Les motifs ayant conduit le premier juge à prononcer, par ordonnance séparée du 26 février 2018, le maintien de l'appelant, en détention pour des motifs de sûreté sont toujours d'actualité, de sorte que la mesure sera reconduite mutatis mutandis (ATF 139 IV 277 consid. 2.2 à 2.3).</w:t>
      </w:r>
    </w:p>
    <w:p>
      <w:r>
        <w:rPr>
          <w:b/>
        </w:rPr>
        <w:t>E. 7</w:t>
      </w:r>
    </w:p>
    <w:p>
      <w:r>
        <w:t>L'appelant, qui succombe, supportera les frais de la procédure envers l'État comprenant un émolument de CHF 2'000.- (art. 428 CPP).</w:t>
      </w:r>
    </w:p>
    <w:p>
      <w:r>
        <w:rPr>
          <w:b/>
        </w:rPr>
        <w:t>E. 8</w:t>
      </w:r>
    </w:p>
    <w:p>
      <w:r>
        <w:t>. 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8.2.1.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débours de l'étude inclus ( cf. décision de la Cour des plaintes du Tribunal pénal fédéral BB.2013.127 du 4 décembre 2013 consid. 3/4.2-4.4) de CHF 200.- pour le chef d'étude CHF 200.- (let. c). En cas d'assujettissement l'équivalent de la TVA est versé en sus. 8.2.2.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8.2.3. En principe, la consultation du dossier est indemnisée, sous réserve du caractère excessivement long ou répétitif de cette activité, en particulier si le dossier n'a pas ou peu évolué pendant la procédure d'appel ( AARP/181/2016 du 9 mai 2016 consid. 6.3 et 6.4 ; AARP/149/2016 du 20 avril 2016 consid. 5.4). 8.2.4.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8.2.5.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En l'occurrence il convient, en application des principes qui précèdent, de retirer de l'état de frais de M e B______, défenseur d'office de A______ : ·      2h20 du poste " actes de procédure ", une durée de 4h étant amplement suffisante pour l'examen d'un dossier dénué de toute complexité et connu de l'avocat qui l'a plaidé ab initio, et la rédaction d'un mémoire d'appel, lequel comporte, abstraction faite de la reprise inutile du dispositif de première instance et des conclusions déjà contenues dans la déclaration d'appel, moins de cinq pages utiles au traitement de l'appel, le bordereau ne comportant quant à lui que deux pièces figurant déjà à la procédure ;![endif]&gt;![if&gt; ·      1h30 pour les entretiens avec le client à la prison, les deux visites du mois de mars 2018 faisant double emploi.![endif]&gt;![if&gt;</w:t>
      </w:r>
    </w:p>
    <w:p>
      <w:r>
        <w:rPr>
          <w:b/>
        </w:rPr>
        <w:t>E. 8.4</w:t>
      </w:r>
    </w:p>
    <w:p>
      <w:r>
        <w:t>En conclusion, l'indemnité sera arrêtée à CHF 1'663.40 correspondant à 7h d'activité au tarif de CHF 200.-/heure (CHF 1'400.-) plus la majoration forfaitaire de 10%, vu l'activité indemnisée en première instance (CHF 140.-) et l'équivalent de la TVA au taux de 8% (vu la pratique transitoire du Pouvoir judiciaire) en CHF 123.30.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