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P/9725/2014 vom 19. Mai 2015</w:t>
      </w:r>
    </w:p>
    <w:p>
      <w:r>
        <w:t>GE Cour de justice, 2015-05-19, FR</w:t>
      </w:r>
    </w:p>
    <w:p>
      <w:r>
        <w:rPr>
          <w:b/>
        </w:rPr>
        <w:t xml:space="preserve">Quelle: </w:t>
      </w:r>
      <w:r>
        <w:t>https://mcp.opencaselaw.ch/entscheid/ge_gerichte_P_9725_2014</w:t>
      </w:r>
    </w:p>
    <w:p>
      <w:r>
        <w:t>FR: GE_GERICHTE P/9725/2014 du 19 mai 2015</w:t>
      </w:r>
    </w:p>
    <w:p>
      <w:r>
        <w:t>IT: GE_GERICHTE P/9725/2014 del 19 maggio 2015</w:t>
      </w:r>
    </w:p>
    <w:p>
      <w:pPr>
        <w:pStyle w:val="Heading2"/>
      </w:pPr>
      <w:r>
        <w:t>Regeste</w:t>
      </w:r>
    </w:p>
    <w:p>
      <w:r>
        <w:t>DISPOSITIONS PÉNALES DE LA LSTUP; COMMERCE DE STUPÉFIANTS; HÉROÏNE; FIXATION DE LA PEINE; SURSIS PARTIEL À L'EXÉCUTION DE LA PEINE; CONFISCATION(DROIT PÉNAL); SÉQUESTRE(MESURE PROVISIONNELLE); FRAIS DE LA PROCÉDURE | LStup.19.1; LStup.19.2.a</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 ATF 124 IV 86 consid. 2a p. 87 ss).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 arrêt du Tribunal fédéral 6B_642/2012 du 22 janvier 2013 consid. 1.1).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3.1</w:t>
      </w:r>
    </w:p>
    <w:p>
      <w:r>
        <w:t>L'art. 19 al. 1 LStup punit d'une peine privative de liberté de trois ans au plus ou d'une peine pécuniaire celui qui, sans droit, entrepose, expédie, transporte, importe ou exporte des stupéfiants ou les passe en transit (let. b), aliène ou prescrit des stupéfiants, en procure de toute autre manière à un tiers ou en met dans le commerce (let. c), possède, détient ou acquiert des stupéfiants ou s’en procure de toute autre manière (let. d) ou prend des mesures aux fins de commettre une de ces infractions (let. g). Les actes visés par l'art. 19 ch.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L'art. 19 al. 1 lit d LStup déclare punissable celui qui sans droit possède ou détient un stupéfiant. Est visé, en première ligne, celui qui n'a pas lui-même acquis la drogue, mais qui a accepté de la prendre en dépôt, permettant par exemple à un tiers de la cacher chez lui. La formule est assez large pour englober tous les cas où l'on ne peut pas déterminer dans quelles circonstances et par qui la drogue a été acquise, mais où l'on a constaté que la drogue se trouvait dans la maîtrise de l'auteur, même si l'on ne sait pas d'où elle provient et s'il la détient pour autrui. Selon la jurisprudence, la possession vise une perpétuation de la situation illégale ; l'auteur doit avoir acquis la possession au sens de "Gewahrsam", c'est-à-dire la maîtrise de fait avec la volonté de l'exercer, même pour le compte d'un tiers. Ces représentations subjectives interviennent plutôt au moment de se prononcer sur l'existence ou non de l'intention (B. CORBOZ, Les infractions en droit suisse , vol. II, 3 e éd., Berne 2010, n. 40 à 42, p. 905-906 et réf. cit.). Il faut encore que l'auteur projette d'accomplir lui-même l'une des infractions prévues aux lettres a à f en tant qu'auteur ou coauteur (ATF 130 IV 131 consid. 2.2.2 p. 136). S'il veut fournir une assistance accessoire à l'acte punissable d'un tiers, sans commettre lui-même un acte réprimé par la LStup, il doit être traité comme un complice et non comme l'auteur d'un acte préparatoire punissable au sens de l'art. 19 al. 1 let. g LStup (ATF 133 IV 187 consid. 3.2 p. 192 et ATF 130 IV 131 consid. 2.2.2 p. 136 ; arrêt du Tribunal fédéral 6B_33/2011 du 7 novembre 2011 consid. 1.1). Si l’auteur en est resté au stade des actes préparatoires, le juge peut atténuer librement la peine (art. 19 al. 3 let. a LStup). L'infraction est intentionnelle. Le dol éventuel suffit (ATF 126 IV 201 consid. 2).</w:t>
      </w:r>
    </w:p>
    <w:p>
      <w:r>
        <w:rPr>
          <w:b/>
        </w:rPr>
        <w:t>E. 3.2</w:t>
      </w:r>
    </w:p>
    <w:p>
      <w:r>
        <w:t>Selon l'art. 19 al. 2 let. a LStup, le cas est grave lorsque l'auteur sait ou ne peut ignorer que l'infraction peut directement ou indirectement mettre en danger la santé de nombreuses personnes. S'agissant de la quantité pour l'héroïne, cette dernière condition est objectivement remplie, selon la jurisprudence développée sous l'ancien droit, dès que l'infraction porte sur une quantité d'au moins 12 grammes de drogue pure (ATF 119 IV 180 ; arrêt du Tribunal fédéral 6B_908/2008 du 5 février 2009 consid. 4.1 ; B. CORBOZ, Les infractions en droit suisse , vol. II, 3 e éd., n. 81 p. 917).</w:t>
      </w:r>
    </w:p>
    <w:p>
      <w:r>
        <w:rPr>
          <w:b/>
        </w:rPr>
        <w:t>E. 3.3</w:t>
      </w:r>
    </w:p>
    <w:p>
      <w:r>
        <w:t>L'appelant conteste en l'espèce toute participation à un trafic d'héroïne. Les juges de première instance l'ont condamné pour copossession, avec les deux autres prévenus, d'une quantité de près de 1'400 grammes net d'héroïne d'un taux de pureté oscillant entre 28,56% et 57,48%, excluant le transport ou le conditionnement de cette drogue, dans la mesure où son rôle dans le trafic n'avait pas été précisément éclairci. En l'absence d'appel du Ministère public, le seul comportement de l'appelant pouvant lui être reproché au stade de l'appel est cette copossession.</w:t>
      </w:r>
    </w:p>
    <w:p>
      <w:r>
        <w:rPr>
          <w:b/>
        </w:rPr>
        <w:t>E. 3.3.1</w:t>
      </w:r>
    </w:p>
    <w:p>
      <w:r>
        <w:t>Les déclarations du trio ont été au fil de l'enquête contradictoires et fluctuantes s'agissant, en particulier en ce qui concerne l'appelant, du moment à partir duquel celui-ci s'est trouvé à l'appartement abritant le stock de drogue et le matériel de conditionnement, de la fréquence à laquelle il s'y est trouvé et a dormi, de qui avait touché la drogue et ses emballages divers et pour quelle raison, du dialogue au sujet de la drogue intervenu entre l'appelant et le prévenu C______, en présence ou non du prévenu D______, de la provenance des nombreuses espèces saisies en particulier sur l'appelant et sur le prévenu C______, et de l'usage des nombreux appareils téléphoniques saisis. Toutes ces déclarations, manquant singulièrement de force probante, doivent être confrontées aux observations de la police le jour de l'interpellation du trio, au matériel de conditionnement, à la drogue et au produit de coupage retrouvés dans la chambre qu'il occupait et verrouillée par un cadenas dont le prévenu D______ détenait la clé, tout comme celle permettant d'ouvrir l'armoire contenant la drogue, aux espèces substantielles saisies en particulier sur l'appelant, et enfin aux traces scientifiques – profils ADN et traces papillaires – des trois prévenus retrouvées sur les emballages de drogue et du produit de coupage. C'est en particulier de manière bien peu convaincante et évoluant au fil de ses auditions et de l'avancée de l'enquête que l'appelant, dont des traces papillaires ont été relevées sur l'emballage en scotch brun du puck contenant 395,2 grammes nets d'héroïne et sur l'emballage extérieur d'un sachet en plastique contenant 999 grammes nets de produit de coupage, et dont le profil ADN a été retrouvé sur le nœud du sachet extérieur du puck précité, sur le nœud du sachet contenant 169,3 grammes nets d'héroïne ainsi que sur le nœud du sachet transparent contenant, à l'intérieur d'un emballage en plastique épais, 916,8 grammes nets de produit de coupage, a cherché à expliquer les raisons de la présence de telles traces. Il a dans un premier temps dit qu'il ne pensait pas que l'on retrouverait son ADN sur la drogue, puis qu'il ne savait pas s'il l'avait touchée en mettant une veste dans l'armoire, entrouverte, puis pour y ranger ses affaires et enfin en s'intéressant au sac ayant contenu ces substances, qu'il a envisagé d'utiliser pour transporter son ordinateur. Toutes ces explications, ne permettent pas de savoir comment en particulier le profil ADN de l'appelant se serait fixé sur plusieurs nœuds de sachets, dont l'un sur un emballage de produit de coupage placé lui-même dans un sac. Force est d'en déduire que contrairement à ce que soutient l'appelant, il n'a pas simplement par inadvertance touché ces objets, mais a bien manipulé en connaissance de cause tous ces contenants, sachant leur contenu. Il a d'ailleurs fini par dire avoir touché le sac contenant la drogue et le produit de coupage alors que le prévenu C______ lui avait demandé de ne pas le faire, le moment de cette injonction n'étant au demeurant pas établi et non confirmé par le prévenu C______, étant rappelé que l'armoire le contenant était fermée à clé. A celà s'ajoute l'absence d'explications plausibles s'agissant de la détention par l'appelant de quatre appareils téléphoniques, dont l'un contenant une carte SIM hollandaise, ce que le prévenu a dit ignorer, les enquêteurs ne méconnaissant par contre pas que les Pays-Bas sont un lieu de provenance notoire pour des livraisons d'héroïne en Suisse. Le fait qu'il détienne 2 cartes SIM correspondant à des raccordements suisses met à mal sa version des faits selon laquelle il n'aurait été, selon la dernière déclaration, de passage à Genève qu'une seule nuit. L'appelant n'a donné aucune explication plausible justifiant sa présence en Suisse pour une autre cause que celle de se livrer à un trafic d'héroïne. S'il était, comme il le prétend, venu à Genève simplement pour chercher C______ et le ramener en N______, on comprend mal pourquoi il aurait laissé sa voiture à V______. Quant à la place occupée par l'appelant au sein de ce réseau de trafiquants, elle ne devait pas se borner à la copossession de la drogue saisie si l'on s'en tient aux déclarations du prévenu D______ qui devait sortir quand le premier se trouvait à l'appartement ou dans la chambre, thèse renforcée par l'écart d'âge entre l'appelant et ses comparses. C'est ainsi à juste titre, et dans la situation la plus favorable à l'appelant, que les premiers juges, sur la base de ce faisceau d'indices, lui ont imputé en mai 2014 une maîtrise de fait avec la volonté de l'exercer, ressortant en particulier des manipulations auxquelles se sont livrés les trois prévenus, sur 1'400 grammes d'héroïne, justifiée notamment par l'accès qu'il avait à la chambre dans l'appartement, ainsi qu'à l'armoire contenant cette drogue et le produit de coupage, toutes deux verrouillées, respectivement par un cadenas pour la porte de la chambre et la serrure usuelle pour celle de l'armoire, dont les clés ont été retrouvées sur le prévenu D______. Sa condamnation pour infraction à l'art. 19 al. 1 LStup sera partant confirmée.</w:t>
      </w:r>
    </w:p>
    <w:p>
      <w:r>
        <w:rPr>
          <w:b/>
        </w:rPr>
        <w:t>E. 3.3.2</w:t>
      </w:r>
    </w:p>
    <w:p>
      <w:r>
        <w:t>Au vu de la quantité globale d'héroïne de 1,4 kilo, c'est à juste titre que les premiers juges ont retenu cette circonstance aggravante à l'encontre de l'appelant. Le jugement de première instance sera également confirmé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4.1.3.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 consid. 5.5.1 p. 14). L'autorité ne se trouve ainsi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 (ATF 134 IV 1 consid. 5.3.1 p. 10).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Aux termes de l'art. 44 al. 1 CP, si le juge suspend totalement ou partiellement l'exécution d'une peine, il impartit au condamné un délai d'épreuve de deux à cinq ans. Des règles de conduites peuvent être imposées durant ce délai (art. 44 al. 2 CP).</w:t>
      </w:r>
    </w:p>
    <w:p>
      <w:r>
        <w:rPr>
          <w:b/>
        </w:rPr>
        <w:t>E. 4.2</w:t>
      </w:r>
    </w:p>
    <w:p>
      <w:r>
        <w:t>Comme retenu à juste titre par les premiers juges, la faute de l'appelant est lourde. La quantité d'héroïne, d'un taux de pureté élevé, sur laquelle a porté le trafic, est importante et conduit à la mise en danger de la santé de fort nombreuses personnes. Au vu de sa pureté et du produit de coupage découvert, plusieurs kilos de cette substance allaient être mis sur le marché. Dans ce trafic local, le fait que les prévenus aient détenu une quantité d'héroïne d'un tel taux de pureté démontre qu'ils en avaient une bonne connaissance, une implication de première ligne et la confiance de leurs fournisseurs. Quant à la position hiérarchique occupée par l'appelant dans ce réseau, la CPAR fait siennes les considérations des premiers juges qui ont retenu qu'il s'était trouvé à plusieurs reprises sur le lieu de stockage de la drogue, qu'il l'avait manipulée, et avait un contact privilégié avec le prévenu C______, dont le prévenu D______ était exclu. Son mobile est égoïste. Il a manifestement agi par appât d'un gain facile, sans que son comportement ne puisse être justifié par une toxicomanie. Sa faute en est d’autant plus lourde. Sa situation personnelle n'explique pas ses agissements. Il bénéficiait d'une bonne expérience professionnelle et d'une activité lui permettant de subvenir à ses besoins avant qu'il ne commette les actes reprochés, selon ce qu'il a prétendu. Il disposait donc d'une totale liberté d'action. Sa collaboration a l'enquête a été des plus mauvaise, contestant encore en appel son implication. Il n'a à l'évidence pas pris en compte le caractère délictuel et la gravité de ses agissements. Aucune des circonstances atténuantes prévues par l'art. 48 CP n'est réalisée, ni plaidée. A décharge, la période pénale est extrêmement courte Le prévenu n'a pas d'antécédent en Suisse, ce dont les premiers juges ont tenu compte. Au vu de ce qui précède, la peine privative de liberté de 30 mois prononcée à son encontre par les premiers juges est adéquate et correspond à la faute commise, qui est importante, conformément aux éléments susmentionnés, et sera confirmée. Le sursis partiel prononcé par les premiers juges est acquis à l'appelant et au demeurant conformes aux éléments du dossier (art. 391 al. 2 CPP). Ses perspectives d'avenir ne sont pas mauvaises. Dans la mesure où il n'a pas pris conscience de la gravité de ses actes, il ne saurait être question de réduire la partie ferme à exécuter. Elle sera par conséquent confirmée.</w:t>
      </w:r>
    </w:p>
    <w:p>
      <w:r>
        <w:rPr>
          <w:b/>
        </w:rPr>
        <w:t>E. 5</w:t>
      </w:r>
    </w:p>
    <w:p>
      <w:r>
        <w:t>Les motifs ayant conduit les premiers juges à prononcer, par ordonnance séparée du 26 janvier 2015, le maintien de A______ en détention pour des motifs de sûreté sont toujours d'actualité, de sorte que la mesure sera reconduite mutatis mutandis (ATF 139 IV 277 consid. 2.2 à 2.3).</w:t>
      </w:r>
    </w:p>
    <w:p>
      <w:r>
        <w:rPr>
          <w:b/>
        </w:rPr>
        <w:t>E. 6</w:t>
      </w:r>
    </w:p>
    <w:p>
      <w:r>
        <w:t>6.1. L'appelant conclut à la restitution de tous les objets saisis, excepté l'ordinateur de marque HP, ainsi que des espèces retrouvées en sa possession, dont les juges de première instance ont ordonné la compensation à concurrence de la créance de l'Etat à son encontre portant sur les frais de la procédure. 6.1.1. Selon l'art. 263 CPP, des objets et valeurs patrimoniales appartenant au prévenu ou à des tiers peuvent être mis sous séquestre s'il est probable qu'il seront utilisés comme moyens de preuve (let. a), qu'il seront utilisés pour garantir le paiement des frais de procédure, des peines pécuniaires, des amendes et des indemnités (let. b), qu'ils devront être restitués au lésé (let. c) ou confisqués (let. d). 6.1.2. Lors du séquestre, l'autorité pénale tient compte du revenu et de la fortune du prévenu et de sa famille. Les valeurs patrimoniales insaisissables selon les art. 92 et 94 de la loi fédérale du 11 avril 1889 sur la poursuite pour dettes et la faillite sont exclues du séquestre (art. 268 al. 2 et 3 CPP). 6.1.3. Le séquestre de type conservatoire prévu par l'art. 263 let. d vise la confiscation de biens en raison de leur origine criminelle ou du danger qu'ils représentent pour la sécurité, l'ordre public ou encore la morale. Il a pour but de préparer la confiscation au sens des art. 69 et 70 CP. Ce type de séquestre ne nécessite pas de soupçon concret. La seule probabilité que ces biens soient issus d'une infraction est suffisante, en tout cas au début de la procédure. L'art. 268 CPP est un séquestre à fin de garantie ou de couverture des frais qui peut être ordonné sur tous les biens du prévenu, même ceux sans rapport avec l'infraction (MOREILLON, PAREIN-REYMOND, Petit commentaire, Code de procédure pénale , Helbing Lichtenhahn 2013, ad. art. 263 et 268 CPP). 6.1.4. En l'espèce, l'argent trouvé en possession de l'appelant a valablement été saisi en application de l'art. 263 let. d CPP. 6.2.1. Selon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6.2.2.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6.2.3. L’art. 442 al. 4 CPP stipule que les autorités pénales peuvent compenser les créances portant sur des frais de procédure avec les indemnités accordées à la partie débitrice dans la même procédure et avec des valeurs séquestrées. 6.2.4. En l'espèce, il apparaît très vraisemblable que les sommes retrouvées en possession de l'appelant proviennent de son activité illicite, soit d'une infraction à la LStup, leur provenance étant nullement documentée et son implication dans le trafic établie. Cependant, dans la mesure où la confiscation de ces sommes aurait pour conséquence qu'elles ne viennent pas en déduction des frais de procédure auxquels il a été condamné, décision des premiers juges, il semble qu'elles ne peuvent plus être confisquées au regard du principe de l'interdiction de la reformatio in pejus . 6.2.5. Reste à examiner la possibilité, retenue par les premiers juges, de séquestrer et compenser les sommes saisies sur l'appelant et leur compensation avec les frais de la procédure. Dans la mesure où la CPAR a de forts doutes que l'argent retrouvé sur l'appelant soit d'origine licite, comme retenu supra sous consid. 6.2.4, cela permet d'exclure qu'il s'agisse de valeurs patrimoniales insaisissables selon les art. 92 à 94 LP, de sorte que c'est à juste titre que les premiers juges ont ordonné la compensation des frais de la procédure avec les montants séquestrés. Pour ces motifs, le jugement de première instance sera confirmé et l'argent saisi sur l'appelant sera séquestré et affecté au paiement des frais de la procédure et partant compensé à due concurrence avec la créance de l'Etat. 6.2.6. C'est encore à juste titre que les premiers juges ont confisqué et ordonné la destruction de toutes les cartes téléphoniques et appareils découverts en possession de l'appelant lors de son interpellation, celui-ci n'ayant pas davantage convaincu la CPAR qu'ils auraient servi à d'autres fins que pour ses contacts avec les divers protagonistes impliqués dans le trafic d'héroïne. La restitution de la montre et de la clé figurant à l'inventaire du 12 mai 2014 lui est acquise.</w:t>
      </w:r>
    </w:p>
    <w:p>
      <w:r>
        <w:rPr>
          <w:b/>
        </w:rPr>
        <w:t>E. 7</w:t>
      </w:r>
    </w:p>
    <w:p>
      <w:r>
        <w:t>Vu l'issue de la procédure, il n'y a pas lieu d'entrer en matière sur les prétentions en indemnisation de l'appelant fondées sur l'art. 429 CPP.</w:t>
      </w:r>
    </w:p>
    <w:p>
      <w:r>
        <w:rPr>
          <w:b/>
        </w:rPr>
        <w:t>E. 8</w:t>
      </w:r>
    </w:p>
    <w:p>
      <w:r>
        <w:t>L'appelant, qui succombe, sera condamné aux frais de la procédure d'appel qui comprennent un émolument de décision de CHF 2'500.- (art. 428 CPP et 14 al. 1 let. e du Règlement fixant le tarif des frais en matière pénale du 22 décembre 2010 [RTFMP ; RS E 4 10.03]).</w:t>
      </w:r>
    </w:p>
    <w:p>
      <w:r>
        <w:rPr>
          <w:b/>
        </w:rPr>
        <w:t>E. 9</w:t>
      </w:r>
    </w:p>
    <w:p>
      <w:r>
        <w:t>9.1.1.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 l'état de frais détaille par rubriques les activités donnant lieu à indemnisation, avec indication du temps consacré. Les justificatifs des frais sont joints. Les directives du greffe sont applicables pour le surplus. "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9.1.2. Par arrêt du 6 novembre 2014 dans les causes BB.2014.26 et BB.2014.136-137, le Tribunal pénal fédéral a jugé qu'il convenait de tenter de satisfaire, dans la mesure où cela était encore possible a posteriori ,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soit en l'espèce dès le 23 février 2015.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jusqu'à présent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9.2.1. B______ a été nommé défenseur d'office de l'appelant le 13 mai 2014. Il a présenté le 18 mai 2015 un état de frais pour 16 heures d'activité déployée du 28 janvier 2015 au 18 mai 2015, réservant la durée afférente à l'audience du 19 mai suivant devant la CPAR. Il y a joint six notes de frais pour services de traduction intervenus les 28 janvier, 3 mars, 20 mars, 20 avril, 6 mai et 18 mai 2015 pour un montant global de CHF 560.-. Le poste pour les 6 entretiens à la prison une fois le jugement de première instance rendu sera réduit à 5 heures, les questions de l'annonce et de la déclaration d'appel pouvant être discutées en une seule fois et aucune modification dans la procédure, ni dans la situation personnelle de son mandant, n'ayant commandé que son conseil s'entretienne six fois avec lui avant l'audience devant la CPAR. Le poste "procédure" sera réduit à 6 heures dans la mesure où la déclaration d'appel entre dans le forfait et que la défense de l'appelant en seconde instance n'a pas commandé des recherches ou développements autres que ceux exposés devant le Tribunal correctionnel. Par conséquent, l'état de frais sera admis à concurrence de 11 heures d'activité de chef d'étude, auxquelles s'ajouteront 2 heures pour l'audience d'appel et le prononcé du dispositif, ce qui correspond à une indemnité de base de CHF 2'600.-. Il convient d'ajouter à ce montant l'indemnisation forfaitaire de 10 %, soit CHF 260.-, au vu de l'ampleur de l'activité déployée en première instance, plus la TVA de CHF 228.80 et CHF 560.- de frais d'interprète. Les autres prestations facturées ne seront pas retenues car injustifiées.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