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P/968/2025 vom 24. Februar 2025</w:t>
      </w:r>
    </w:p>
    <w:p>
      <w:r>
        <w:t>GE Cour de justice, 2025-02-24, FR</w:t>
      </w:r>
    </w:p>
    <w:p>
      <w:r>
        <w:rPr>
          <w:b/>
        </w:rPr>
        <w:t xml:space="preserve">Quelle: </w:t>
      </w:r>
      <w:r>
        <w:t>https://mcp.opencaselaw.ch/entscheid/ge_gerichte_P_968_2025</w:t>
      </w:r>
    </w:p>
    <w:p>
      <w:r>
        <w:t>FR: GE_GERICHTE P/968/2025 du 24 février 2025</w:t>
      </w:r>
    </w:p>
    <w:p>
      <w:r>
        <w:t>IT: GE_GERICHTE P/968/2025 del 24 febbraio 2025</w:t>
      </w:r>
    </w:p>
    <w:p>
      <w:pPr>
        <w:pStyle w:val="Heading2"/>
      </w:pPr>
      <w:r>
        <w:t>Regeste</w:t>
      </w:r>
    </w:p>
    <w:p>
      <w:r>
        <w:t>ORDONNANCE DE NON-ENTRÉE EN MATIÈRE | CPP.385.al1; CPP.396.al1; CPP.310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Il en va cependant différemment des courriels adressés postérieurement à la Chambre de céans, dans la mesure où, d'une part, ils ne respectent pas les exigences de forme et, d'autre part, ont été adressés après le délai de dix jours, étant précisé qu'il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 ACPR/291/2013 du 24 juin 2013 ; Y. JEANNERET / A. KUHN / C. PERRIER DEPEURSINGE (éds), Commentaire romand : Code de procédure pénale suisse , 2 ème éd., Bâle 2019, n. 3 ad art. 385). Ces courriels seront dès lors déclarés irrecevables.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retenu que les éléments constitutifs d'une infraction n'étaient manifestement pas réunis.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 6B_496/2021 du 22 décembre 2021 consid. 5.3 ; 6B_212/2020 du 21 avril 2021 consid. 2.2). Dans le doute, lorsque les conditions d'une non-entrée en matière ne sont pas réalisées avec une certitude absolue, l'instruction doit être ouverte (ATF 143 IV 241 consid. 2.2.1 ; 138 IV 86 consid. 4.1 ; arrêts du Tribunal fédéral 6B_488/2021 , 6B_496/2021 précité; 6B_212/2020 précité).</w:t>
      </w:r>
    </w:p>
    <w:p>
      <w:r>
        <w:rPr>
          <w:b/>
        </w:rPr>
        <w:t>E. 3.2</w:t>
      </w:r>
    </w:p>
    <w:p>
      <w:r>
        <w:t>En l'espèce, la recourante n'explique pas de quelle façon le curateur de sa fille ou le SEASP auraient commis des infractions pénales, ni n'indique clairement de quelle infraction il s'agirait. Elle ne fait en effet qu'alléguer des comportements qui seraient, selon elle, contraires au droit, notamment la violation d'un " devoir de diligence professionnel envers [s] a personne et sa famille par placement forcé ", sans apporter aucun élément ni précision à cet égard. Or, il ressort des pièces au dossier, notamment du rapport du SEASP du 7 avril 2021, que les mesures prises dans le cadre du litige familial l'ont été sur la base des procédures judiciaires et administratives genevoises. Aucune pièce produite ne permet en outre de déceler un manque de diligence ou de quelconques malversations, ni par qui elles auraient été commises. Partant, il n'existe pas d'élément permettant de soupçonner la commission d'une infraction pénale. Une non-entrée en matière (art. 310 al. 1 let. a et b CPP) s'imposait donc, ce d'autant que le litige semble s'inscrire dans un contexte de nature purement civile (droit aux relations personnelles, séparation, relations avec le curateur, le SEASP ou le TPAE, etc.), la Chambre de céans n'étant en effet pas compétente pour se prononcer sur de tels aspects relevant exclusivement de la compétence du droit civil. Partant, l'ordonnance querellée sera confirmée et le recours rejeté.</w:t>
      </w:r>
    </w:p>
    <w:p>
      <w:r>
        <w:rPr>
          <w:b/>
        </w:rPr>
        <w:t>E. 4</w:t>
      </w:r>
    </w:p>
    <w:p>
      <w:r>
        <w:t>La recourante, qui succombe, supportera les frais envers l'État, fixés en totalité à CHF 1'000.- (art. 428 al. 1 CPP et 13 al. 1 du Règlement fixant le tarif des frais en matière pénale, RTFMP ;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