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P/9687/2011 vom 15. Dezember 2020</w:t>
      </w:r>
    </w:p>
    <w:p>
      <w:r>
        <w:t>GE Cour de justice, 2020-12-15, FR</w:t>
      </w:r>
    </w:p>
    <w:p>
      <w:r>
        <w:rPr>
          <w:b/>
        </w:rPr>
        <w:t xml:space="preserve">Quelle: </w:t>
      </w:r>
      <w:r>
        <w:t>https://mcp.opencaselaw.ch/entscheid/ge_gerichte_P_9687_2011</w:t>
      </w:r>
    </w:p>
    <w:p>
      <w:r>
        <w:t>FR: GE_GERICHTE P/9687/2011 du 15 décembre 2020</w:t>
      </w:r>
    </w:p>
    <w:p>
      <w:r>
        <w:t>IT: GE_GERICHTE P/9687/2011 del 15 dicembre 2020</w:t>
      </w:r>
    </w:p>
    <w:p>
      <w:pPr>
        <w:pStyle w:val="Heading2"/>
      </w:pPr>
      <w:r>
        <w:t>Regeste</w:t>
      </w:r>
    </w:p>
    <w:p>
      <w:r>
        <w:t>ABUS DE CONFIANCE | CP.138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407 al. 1 let. a CPP dispose que l'appel est réputé retiré si la partie qui l’a déclaré fait défaut aux débats d'appel sans excuse valable et ne se fait pas représenter. En principe, le prévenu appelant doit comparaître personnellement aux débats mais ne sera considéré comme défaillant que s’il a été cité à comparaître régulièrement et qu'il ne se présente pas à l'audience sans excuse valable. Le prévenu appelant peut toutefois demander à être dispensé de participer au débat dans les cas simples (art. 405 al. 2 CPP). S'il ne demande pas une telle dispense et qu'il ne se présente pas aux débats sans excuse valable, il sera considéré défaillant. Il en ira de même s'il ne se présente pas malgré le rejet d'une demande de dispense. En toute hypothèse, il ne sera toutefois considéré défaillant que s'il ne se fait pas représenter par son défenseur (A. KUHN / Y. JEANNERET (éds), Commentaire romand : Code de procédure pénale suisse , Bâle 2011, n. 3, 4 et 6 ad art. 407). 2.1.2. Le code de procédure pénale n’explicite, ni à l’art. 407 al. 1 let. a ni à l'art. 336 al. 4 CPP s'agissant des débats de première instance, ni encore à l’art. 368 relatif à la demande de nouveau jugement en cas de défaut lors des débats de première instance, la notion d’ "excuse valable" . Selon la jurisprudence relative au défaut en première instance antérieure à l'entrée en vigueur du code, la Constitution et la Convention européenne des droits de l’homme ne s’opposent pas à ce que le défaut soit considéré non excusable lorsque le prévenu refuse de participer aux débats ou lorsqu'il se place fautivement dans l'incapacité de le faire (ATF 129 II 56 consid. 6.2 p. 59 s. et les arrêts cités; arrêts de la Cour européenne des droits de l'homme Medenica c. Suisse du 14 juin 2001, par. 58; Poitrimol c. France du 23 novembre 1993, Série A, vol. 277A, par. 35 ; arrêt du Tribunal fédéral du 1 er mai 2006 en la cause 1P.829/2005 consid. 2.2, publié dans la SJ 2006 I 450). La Cour européenne reconnaît en outre que, devant les juridictions supérieures, la comparution de l'accusé ne revêt pas nécessairement la même importance qu'en première instance (cf. arrêt de la CourEDH KAMASINSKI c. Autriche du 19 décembre 1989, série A vol. 168 § 1060 ; arrêt du Tribunal fédéral du 19 juillet 2011 en la cause 6B_268/2011 , consid. 1.1). 2.1.3. Il découle de ce qui précède que la présence de l’appelant aux débats d’appel est obligatoire. Le fait de solliciter expressément la tenue de débats d’appel, et de s’opposer ainsi à une procédure écrite, ne peut se justifier que par la volonté de s’exprimer devant l’autorité d’appel, étant rappelé que le droit à des débats d’appel est un droit du prévenu qui souhaite s’exprimer oralement. L’objectif de l’audience est ainsi essentiellement l’administration de preuves et l’audition des parties, et non l’exposé oral de leur conseil juridique. Or la teneur des pièces transmises à la dernière minute par le conseil de l’appelante laisse penser que celle-ci n’a pas réellement eu l’intention de se présenter, ce qui pose la question du caractère excusable de l'absence de l'appelante, malgré la remise d'un certificat médical produit le jour de l'audience. Etant toutefois représentée par son conseil, celle-ci ne sera pas considérée comme défaillante, et il sera entré en matière sur l'appel, étant précisé qu'au vu des circonstances susdécrites, la Cour considère que l'appelante a ainsi renoncé à s’exprimer, notamment sur les pièces recueillies par le MP depuis sa dernière audition et sur l’éventuelle évolution de sa situation personnelle. 2.2.1. Le principe in dubio pro reo , qui découle de la présomption d'innocence, garantie par l'art. 6 ch. 2 CEDH et, sur le plan interne, par les art. 32 al. 1 Cst. et 10 al. 3 CPP, concerne tant le fardeau de la preuve que l'appréciation des preuves au sens large (ATF 144 IV 345 consid. 2.2.3.2 ; 127 I 28 consid. 2a).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2.2.2. Commet un abus de confiance au sens de l'art. 138 ch. 1 al. 2 CP, celui qui, sans droit, aura employé à son profit ou au profit d'un tiers, des valeurs patrimoniales qui lui avaient été confiées. 2.2.3.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valeur pour en faire un certain usage dans l’intérêt d’autrui, soit la conserver, la gérer ou la remettre, selon un accord exprès ou tacite (ATF 133 IV 21 , consid. 6.2 ; ATF 120 IV 276 consid. 2), qui fait apparaître qu’elle appartient économiquement à autrui, en ce sens que l’auteur n’en a pas la libre disposition (B. CORBOZ, Les infractions en droit suisse , 3 ème éd., Berne 2010, vol. I., n. 19 ad art. 138 CP).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(ATF 133 IV 21 consid. 7.2 p. 30 s, arrêt du Tribunal fédéral 6B_312/2009 du 17 juillet 2009). 2.2.4. Il y a emploi illicite d'une valeur patrimoniale confiée lorsque l'auteur l'utilise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2.2.5.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2.2.6.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 Ersatzbereitschaft "; ATF 118 IV 32 consid. 1a p. 34). Un dessein d'enrichissement illégitime temporaire suffit (arrêt du Tribunal fédéral 6B_382/2017 du 2 février 2018 consid. 4.3.1.) Le dessein d'enrichissement peut être réalisé par dol éventuel ; tel est le cas lorsque l'auteur envisage l'enrichissement comme possible et agit néanmoins, même s'il ne le souhaite pas, parce qu'il s'en accommode pour le cas où il se produirait (ATF 105 IV 29 consid. 3a p. 34). 2.3.1. En l'espèce, il est établi que les fonds versés par B______ INC sur le compte de la société G______ SA appartenant à l'appelante étaient contractuellement destinés à F______ SA. L'appelante a d'ailleurs précisé que les fonds avaient été versés sur ce compte car F______ SA ne disposait pas encore de compte bancaire mais avait besoin d'un prêt ou d'un investissement, dans le cadre d'affaires qu'elle menait et desquelles elle espérait d'importants bénéfices. L'idée de ce contrat était selon elle de créer une collaboration entre B______ INC et F______ SA. F______ SA a par ailleurs formellement reconnu être la co-contractante et la débitrice de B______ INC, ce qui ressort des diverses promesses de règlement de cette affaire et des nombreuses explications fournies à la partie plaignante pour justifier le retard dans le paiement des sommes dues, notamment le fait que, n'ayant pas reçu les fonds, en raison de prétendus blocages bancaires sur le compte de G______ SA, F______ SA ne pouvait pas procéder au remboursement. Cette dernière a encore indiqué à la partie plaignante que l'argent versé par B______ INC avait été utilisé pour une "transaction commerciale " avec elle et que le retard dans le remboursement était indépendant de sa volonté, tout en répétant qu'elle n'avait pas l'intention de se dérober à ses obligations. Il résulte en outre de la procédure qu'il était important pour la partie plaignante de s'engager avec F______ SA, une société domiciliée en Suisse, cela représentant à ses yeux une garantie de se voir rembourser. Le fait qu'elle eut ensuite précisé, F______ SA ne s'exécutant pas, que le remboursement pouvait également provenir des fonds personnels de A______, laquelle s'était au demeurant personnellement porté garante, n'y change rien. Il découle de ce qui précède que dans l'esprit des deux parties, le contrat, qu'il soit qualifié de prêt ou d'investissement, a manifestement conclu dans un but "commercial" entre deux sociétés, et l'appelante ne recevait nullement l'argent pour elle-même mais devait le remettre à F______ SA, ou en tous les cas en faire usage dans l'intérêt des parties, permettant en définitive à F______ SA de payer les sommes convenues à B______ INC à la date fixée. L'appelante était ainsi auxiliaire de l'encaissement des fonds et n'en avait personnellement pas la libre disposition, ni ne pouvait se les approprier. Elle ne le plaide d'ailleurs pas. Les valeurs patrimoniales de la partie plaignante ont donc bien été confiées, au sens de l'art. 138 ch. 1 al. 2 CP, à l'appelante. Il importe ainsi peu de savoir si l'emprunteuse, soit F______ SA, avait elle-même reçu des instructions lui imposant d'affecter les fonds à une opération spécifique ou si elle pouvait en disposer librement. L'appelante ne s'est d'ailleurs pas trompée sur les reproches qui lui sont formulés par l'accusation puisqu'elle plaide, depuis le début de la procédure pénale, avoir bien recrédité les fonds originalement versés par B______ INC à F______ SA et avoir comptabilisé cette somme dans les livres de la société précitée (cf. art. 325 CPP ; ATF 143 IV 63 consid. 2.2 ; arrêt du Tribunal fédéral 6B_834/2018 du 5 février 2019 consid. 1.1). 2.3.2. Il ne ressort toutefois nullement du dossier que les fonds originalement reçus ont été transférés à F______ SA. Au contraire, la documentation bancaire figurant au dossier montre que la somme contractuelle reçue par l'appelante sur le compte de sa société G______ SA le 23 mai 2006, nullement bloquée, a immédiatement fait l'objet de retraits cash et qu'en deux mois, la totalité de celle-ci a été épuisée. Or l'appelante n'a jamais allégué que ces retraits auraient été effectués en lien avec l'activité de F______ SA et le contrat litigieux. Elle les a au contraire cachés à la partie plaignante, qui s'inquiétait non seulement de la date à laquelle elle allait être remboursée mais également de la disponibilité des fonds pour F______ SA et de leur affectation, et lui a fourni toutes sortes d'explications fantaisistes pour justifier le non-remboursement des sommes dues. L'appelante n'a pas davantage fait état de ces retraits en cours de procédure pénale, se contentant d'expliquer ne pas savoir ce qu’il était advenu de l'argent versé par B______ INC, soutenant que c’était D______ qui s’était occupé de cette affaire. Il ne ressort d’ailleurs nullement du dossier que F______ SA aurait acheté du cuprum avec les fonds versés par la partie plaignante. La poudre en question appartenait en réalité à une autre société de l'appelante et n’a été transférée à F______ SA qu'en 2010, dans le but d'éviter sa mise en faillite. Les fonds de B______ INC n'ayant au demeurant, contrairement à ce que soutient l’appelante, jamais été comptabilisés au bilan de F______ SA, il est manifeste qu’elle a utilisé l’argent à des fins étrangères aux intérêts des parties au contrat. 2.3.3. Au vu de ce qui précède, l’appelante n’est tout simplement pas crédible lorsqu’elle prétend avoir retransféré à F______ SA, le 5 mars 2008, les fonds originalement reçus de la partie plaignante. Même si ce virement avait constitué un remboursement des montants retirés indûment, ce que l'appelante ne soutient pas, il ne serait de toute façon pas de nature à réhabiliter la licéité des retraits opérés. Le fait que des négociations sur la question des intérêts étaient supposément en cours en 2008 ne change rien à ce qui précède. Tout éventuel litige sur ce point n’autorisait nullement l’appelante à utiliser la somme confiée, aussitôt après sa réception, à des fins étrangères au contrat, étant relevé que F______ SA n'a remis en cause le principe des intérêts que bien après l'échéance contractuelle. En tout état, il ressort du dossier que le transfert invoqué n'était nullement en lien avec les sommes dues à B______ INC mais concernait une autre dette de l’appelante. Ce crédit a d'ailleurs été immédiatement et totalement débité du compte de F______ SA en direction d'un destinataire tiers, et n'a, pour cause, pas été comptabilisé dans ses livres. 2.3.4. Partant, l'appelante a bien employé illicitement la somme qui lui a été confiée, et qui devait être remise ou affectée d'une manière ou d'une autre à F______ SA dans l'intérêt des parties au contrat. 2.3.5. Ses explications contradictoires et inconsistantes au sujet du contexte dans lequel est intervenu le contrat et l'activité que menait alors supposément F______ SA, soit des négociations sur de l'or, des investissements dans des affaires africaines ou encore une "transaction commerciale" , combinées à celles différentes et tout aussi confuses de D______ sur les besoins de liquidités de F______ SA pour l'acquisition d'or ou de cuprum, mais aussi pour l'obtention de lettres de crédit et de garanties bancaires, alimentent le soupçon que de telles affaires, censées rapporter d'importants bénéfices, quelles qu'elles fussent et quelle que fût la manière dont elles ont été présentées à B______ INC, n'existaient que dans l’imagination des protagonistes. Elles n'étaient qu'un subterfuge pour obtenir de la partie plaignante le versement de la somme litigieuse. L'appelante n'a ainsi jamais eu la volonté de remettre cette somme à F______ SA, ni de l'affecter d'une manière ou d'une autre à son activité, si tant est qu’il y en ait eu une. Le fait que d'autres personnes ont dénoncé avoir versé des montants à l'appelante dans des conditions similaires et dans le même espoir, déchu, de se voir rembourser avec d'importants bénéfices, impliquant au demeurant également la société F______ SA, plaide également en ce sens. 2.3.6. S’il ne peut être exclu que l'appelante a eu à tout moment la capacité de représenter la somme, eu égard notamment à sa fortune alléguée, il résulte de ce qui précède qu’elle n’avait aucunement la volonté de le faire. L'appelante a donc bien agi, avec conscience et volonté, dans un dessein d’enrichissement illégitime, fût-il temporaire, disposant des fonds versés par B______ INC en faveur de F______ SA, comme si elle en était l’ayant droit, dans son propre intérêt. 2.3.7. La partie plaignante pour sa part a subi un préjudice d’un montant équivalent à la somme détournée. 2.3.8. Le verdict de culpabilité du chef d'abus de confiance prononcé par le TP sera confirmé.</w:t>
      </w:r>
    </w:p>
    <w:p>
      <w:r>
        <w:rPr>
          <w:b/>
        </w:rPr>
        <w:t>E. 3</w:t>
      </w:r>
    </w:p>
    <w:p>
      <w:r>
        <w:t>3.1.1. L'abus de confiance est un délit instantané qui, dans la configuration de l'usage sans droit de valeurs patrimoniales confiées, est consommé lorsque l'auteur utilise, à son profit ou au profit d'un tiers, les valeurs patrimoniales en s'écartant de la destination fixée (arrêt du Tribunal fédéral 6B_20/2017 du 6 septembre 2017 consid. 6.2). Il a été retenu ci-dessus que deux mois après la réception des fonds en juillet 2006, ceux-ci n'étaient plus disponibles. Aussi, au plus tard à cette date, l’infraction était consommée. 3.1.2. Le Code pénal actuel, permettant de sanctionner l'infraction d'abus de confiance d'une peine pécuniaire, est plus favorable que le droit en vigueur au moment de la commission des faits. Il sera appliqué.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w:t>
      </w:r>
    </w:p>
    <w:p>
      <w:r>
        <w:rPr>
          <w:b/>
        </w:rPr>
        <w:t>E. 3.3</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3.4</w:t>
      </w:r>
    </w:p>
    <w:p>
      <w:r>
        <w:t>L’abus de confiance se prescrit par 15 ans (art. 97 al. 1 let. b CP, ce que prévoyait au demeurant aussi le droit en vigueur au moment de la commission des faits (art. 70 al. 1 let. b aCP). D'après l'art. 98 let. a CP, le point de départ de la prescription est le jour où l'auteur a exercé son activité coupable (ATF 134 IV 297 consid. 4.2 p. 300 et les références citées).</w:t>
      </w:r>
    </w:p>
    <w:p>
      <w:r>
        <w:rPr>
          <w:b/>
        </w:rPr>
        <w:t>E. 3.5</w:t>
      </w:r>
    </w:p>
    <w:p>
      <w:r>
        <w:t>En l'espèce, la faute de l’appelante est sérieuse. Elle a abusé de la confiance placée en elle et s’en est ainsi prise au patrimoine d’autrui, un bien juridique important. Elle a agi avec désinvolture, faisant primer ses intérêts sur ceux de la partie plaignante, s’assurant un enrichissement illégitime, ce qui relève du mobile égoïste de l’appât du gain. L’appelante, absente à de nombreuses audiences malgré des mandats de comparution valablement notifiés, a livré une version des faits tout à fait inconsistante au long de la procédure et en contradiction manifeste avec les éléments du dossier, ce qui n’a d’ailleurs fait que renforcer les soupçons de sa culpabilité. Sa collaboration doit donc être qualifiée de très mauvaise. La prise de conscience est quant à elle inexistante, l’appelante ayant persisté dans sa version des faits incohérente et tentant même de rejeter la faute sur son associé D______. Elle n'a rien entrepris pour rembourser l’intimée, l'ensemble de ses nombreuses promesses n'ayant jamais été suivi d'effet, à l'exception des remboursements très partiels susmentionnés. Sa situation personnelle, selon ses propres dires, favorable, n'explique en rien ses agissements. L’appelante n’a pas d’antécédent, ce qui est un facteur neutre dans la fixation de la peine. Il a été retenu ci-dessus que l'infraction a été consommée au plus tard deux mois après la réception des fonds. Aussi, le délai de prescription de 15 ans a commencé de courir le lendemain de sorte que les deux tiers dudit délai sont largement atteints. L’appelante doit partant être mise d’office au bénéfice de la circonstance atténuante de l’art. 48 let. e CP. Au regard des éléments qui précèdent, la peine pécuniaire de 100 jours-amende à CHF 2'000.- l'unité fixée par le TP ne prête pas le flanc à la critique, étant précisé que l'appelante était libre de fournir plus d'informations quant à sa situation personnelle et financière que ceux, imprécis, à la disposition du premier juge tels que mentionnés plus haut, ce qu'elle n'a pas fait. Elle ne saurait ainsi être avantagée de ce fait au détriment du prévenu qui fournit tous les éléments utiles pour la fixation dudit montant. La peine fixée par le TP sera confirmée. Le sursis, et le délai d'épreuve de trois ans, acquis à l’appelante (art. 391 al. 2 CPP) et adéquats, seront également confirmés.</w:t>
      </w:r>
    </w:p>
    <w:p>
      <w:r>
        <w:rPr>
          <w:b/>
        </w:rPr>
        <w:t>E. 4</w:t>
      </w:r>
    </w:p>
    <w:p>
      <w:r>
        <w:t>L'appelante, qui succombe, supportera les frais de la procédure envers l'État (art. 428 CPP). Par identité des motifs, elle n'a le droit à aucune indemnité fondée sur l'art. 429 CPP.</w:t>
      </w:r>
    </w:p>
    <w:p>
      <w:r>
        <w:rPr>
          <w:b/>
        </w:rPr>
        <w:t>E. 5</w:t>
      </w:r>
    </w:p>
    <w:p>
      <w:r>
        <w:t>5.1. La mise à sa charge des frais de procédure de première instance sera confirmée (art. 426 CPP). 5.2.1.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notamment lorsque le prévenu est condamné. Les honoraires d'avocat se calculent selon le tarif usuel du barreau applicable dans le canton où la procédure se déroule (arrêt 6B_392/2013 du 4 novembre 2013 consid. 2.3.). La Cour de justice retient en principe un tarif horaire entre CHF 400.- et CHF 450.- pour un chef d'étude (arrêt de la Cour de justice AARP/38/2018 du 26 janvier 2018 consid. 7). 5.2.2. En application des principes susmentionnés, le premier juge a condamné la prévenue à payer CHF 15'742.50 à la partie plaignante, ce qui sera confirmé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