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P/9681/2021 vom 26. Mai 2021</w:t>
      </w:r>
    </w:p>
    <w:p>
      <w:r>
        <w:t>GE Cour de justice, 2021-05-26, FR</w:t>
      </w:r>
    </w:p>
    <w:p>
      <w:r>
        <w:rPr>
          <w:b/>
        </w:rPr>
        <w:t xml:space="preserve">Quelle: </w:t>
      </w:r>
      <w:r>
        <w:t>https://mcp.opencaselaw.ch/entscheid/ge_gerichte_P_9681_2021</w:t>
      </w:r>
    </w:p>
    <w:p>
      <w:r>
        <w:t>FR: GE_GERICHTE P/9681/2021 du 26 mai 2021</w:t>
      </w:r>
    </w:p>
    <w:p>
      <w:r>
        <w:t>IT: GE_GERICHTE P/9681/2021 del 26 maggio 2021</w:t>
      </w:r>
    </w:p>
    <w:p>
      <w:pPr>
        <w:pStyle w:val="Heading2"/>
      </w:pPr>
      <w:r>
        <w:t>Regeste</w:t>
      </w:r>
    </w:p>
    <w:p>
      <w:r>
        <w:t>ORDONNANCE DE NON-ENTRÉE EN MATIÈRE;LÉSION CORPORELLE;VOIES DE FAIT;ACTION PÉNALE;INJURE | CPP.310; CP.123; CP.126; CP.177; CP.31</w:t>
      </w:r>
    </w:p>
    <w:p>
      <w:pPr>
        <w:pStyle w:val="Heading2"/>
      </w:pPr>
      <w:r>
        <w:t>Erwägungen</w:t>
      </w:r>
    </w:p>
    <w:p>
      <w:r>
        <w:rPr>
          <w:b/>
        </w:rPr>
        <w:t>E. 1</w:t>
      </w:r>
    </w:p>
    <w:p>
      <w:r>
        <w:t>Le recours est recevable pour avoir été déposé selon la forme et – les formalités de notification n'ayant pas été respectées (art.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CPP, le ministère public rend immédiatement une ordonnance de non-entrée en matière en présence d'un empêchement de procéder (art. 310 al. 1 let. b CPP). Ainsi en va-t-il lorsqu'une infraction réprimée sur plainte a été dénoncée tardivement (arrêt du Tribunal fédéral 6B_1113/2014 du 28 octobre 2015 consid. 2). Il peut également rendre une ordonnance de non-entrée en matière s'il ressort de la dénonciation que les conditions mentionnées à l'art. 8 CPP sont remplies et imposent de renoncer à l'ouverture d'une poursuite pénale (art. 310 al. 1 let. c CPP). L'art. 8 CPP prévoit que le ministère public peut renoncer à toute poursuite pénale, notamment lorsque les conditions visées à l'art. 52 CP sont remplies. Aux termes de cette disposition, l'autorité compétente renonce à poursuivre l'auteur, à le renvoyer devant le juge ou à lui infliger une peine, si tant sa culpabilité que les conséquences de son acte sont de peu d'importance. Il s'agit donc de deux conditions cumulatives (M. NIGGLI / H. WIPRÄCHTIGER (éds), Basler Kommentar, Strafrecht I, 2e éd., 2007, n. 14 ad art. 52).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 DCPR/272/2011 du 4 octobre 2011).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w:t>
      </w:r>
    </w:p>
    <w:p>
      <w:r>
        <w:rPr>
          <w:b/>
        </w:rPr>
        <w:t>E. 3.2</w:t>
      </w:r>
    </w:p>
    <w:p>
      <w:r>
        <w:t>L'art. 123 ch. 1 al. 1 CP, relatif aux lésions corporelles simples, punit, sur plainte, celui qui, intentionnellement, aura fait subir à une personne une atteinte à l'intégrité corporelle ou à la santé qui ne peut être qualifiée de grave au sens de l'art. 122 CP. Elle protège l'intégrité corporelle et la santé tant physique que psychique et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 Selon l'art. 123 ch. 2 CP, la poursuite aura lieu d'office si le délinquant a fait usage du poison, d'une arme ou d'un objet dangereux. La poursuite a également lieu d'office si l'auteur est le conjoint de la victime et que l'atteinte a été commise durant le mariage.</w:t>
      </w:r>
    </w:p>
    <w:p>
      <w:r>
        <w:rPr>
          <w:b/>
        </w:rPr>
        <w:t>E. 3.3</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 notamment le conjoint (let. b) – et dénotent une certaine habitude (ATF 134 IV 189 consid. 1.2. p. 191; 129 IV 216 consid. 3.1 p. 222).</w:t>
      </w:r>
    </w:p>
    <w:p>
      <w:r>
        <w:rPr>
          <w:b/>
        </w:rPr>
        <w:t>E. 3.4</w:t>
      </w:r>
    </w:p>
    <w:p>
      <w:r>
        <w:t>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(ATF 134 IV 189 consid. 1.3 p. 191 et les référence citées) ont également été qualifiées de voies de fait: une gifle, un coup de poing ou de pied, de fortes bourrades avec les mains ou les coudes (arrêt du Tribunal fédéral 6B_525/2011 du 7 février 2012 consid. 4.1), l'arrosage d'une personne au moyen d'un liquide ou le renversement d'un liquide ou solide (arrêt du Tribunal fédéral 6B_1009/2014 du 2 avril 2015 consid. 4.4), l'ébouriffage d'une coiffure soigneusement élaborée ou encore un « entartage » et la projection d'objets durs d'un certain poids (ATF 117 IV 14 consid. 2a/cc p. 17; arrêts du Tribunal fédéral 6B_163/2008 du 15 avril 2008 consid. 2 et 6P.99/2001 du 8 octobre 2001 consid. 2b et 2c).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consid. 1.3 p. 191 s. ; 119 IV 25 consid. 2a p. 26/27).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6S_474/2005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3.5</w:t>
      </w:r>
    </w:p>
    <w:p>
      <w:r>
        <w:t>Se rend coupable d'injure celui qui aura, par la parole, l'écriture, l'image, le geste ou par des voies de fait, attaqué autrui dans son honneur (art. 177 al. 1 CP). Cette infraction est réprimée sur plainte (art. 178 al. 2 cum 31 CP).</w:t>
      </w:r>
    </w:p>
    <w:p>
      <w:r>
        <w:rPr>
          <w:b/>
        </w:rPr>
        <w:t>E. 3.6</w:t>
      </w:r>
    </w:p>
    <w:p>
      <w:r>
        <w:t>Aux termes de l'art. 31 CP, le droit de porter plainte se prescrit par trois mois (1ère phr.). Le délai court du jour où l'ayant droit a connu l'auteur de l'infraction (2ème phr.). L'observation du délai de plainte fixé à l'art. 31 CP est une condition d'exercice de l'action publique (ATF 118 IV 325 consid. 2b p. 328/329).</w:t>
      </w:r>
    </w:p>
    <w:p>
      <w:r>
        <w:rPr>
          <w:b/>
        </w:rPr>
        <w:t>E. 3.7</w:t>
      </w:r>
    </w:p>
    <w:p>
      <w:r>
        <w:t>En l'espèce, le recourant critique la qualification juridique des faits qui se sont déroulés le 17 mars 2020, en tant qu'il s'agissait selon lui de lésions corporelles aggravées et non de simples voies de fait. À teneur du certificat médical produit, le recourant présentait, ensuite de l'altercation, un petit lambeau cutané ecchymotique triangulaire mesurant 0.5 cm – très probablement causé par le contact avec la clef – et une plaie superficielle sur la main. De telles atteintes physiques, de par leur taille et le temps prévisible de guérison, représentent des blessures superficielles qui ne sauraient atteindre le degré requis pour être qualifiées de lésions corporelles. Le recourant n'allègue pas de douleur particulière ou de séquelles consécutives à ces blessures qui ont été administrées dix mois avant le dépôt de sa plainte. Il en découle que les faits dénoncés doivent être analysés sous l'angle de l'art. 126 CP. L'aggravante de l'art. 126 al. 2 let. b CP ne trouve pas application dans le cas présent, dès lors qu'il n'est pas possible de conclure, à teneur des éléments du dossier, que les voies de fait se seraient déroulées à réitérées reprises, même si les parties étaient mariées à l'époque des faits. Le recourant ne le conteste au demeurant pas, son analyse visant justement à démontrer qu'il n'y avait, selon lui, pas besoin que cette condition soit remplie. Ainsi, les faits sont potentiellement constitutifs de voies de fait au sens de l'art. 126 al. 1 CP, infraction poursuivie sur plainte. Le comportement dénoncé a eu lieu en mars 2020 et la plainte a été déposée le 6 janvier 2021, ce qui la rend manifestement tardive. C'est à juste titre que le Ministère public a retenu qu'il existait un empêchement de procéder.</w:t>
      </w:r>
    </w:p>
    <w:p>
      <w:r>
        <w:rPr>
          <w:b/>
        </w:rPr>
        <w:t>E. 3.8</w:t>
      </w:r>
    </w:p>
    <w:p>
      <w:r>
        <w:t>Quant aux termes "fils de pute" que la mise en cause a admis avoir proférés le 10 octobre 2021, le recourant reproche au Ministère public d'avoir retenu que l'acte était isolé pour ne pas entrer en matière. Il n'explique toutefois ni dans son recours, ni lors de son audition par-devant la police, quels ont été les termes utilisés par son ex-compagne précédemment. Aucune plainte n'a été déposée pour des injures antérieures au 6 octobre 2020. Faute d'injures répétées, il était dès lors permis au Ministère public de conclure que la culpabilité de la mise en cause est de peu d'importance, de même que les conséquences de son acte – l'injure ayant notamment été proférée dans le cadre d'un important conflit conjugal et, vraisemblablement, en réaction à une insulte que le recourant a lui-même exprimée, selon les dires du frère de la mise en cause –, de sorte qu'il n'a pas violé la loi en décidant de ne pas entrer en matière sur la base de l'art. 310 al. 1 let. c CPP.</w:t>
      </w:r>
    </w:p>
    <w:p>
      <w:r>
        <w:rPr>
          <w:b/>
        </w:rPr>
        <w:t>E. 4</w:t>
      </w:r>
    </w:p>
    <w:p>
      <w:r>
        <w:t>Justifiée, l'ordonnance querellée sera confirmée.</w:t>
      </w:r>
    </w:p>
    <w:p>
      <w:r>
        <w:rPr>
          <w:b/>
        </w:rPr>
        <w:t>E. 5</w:t>
      </w:r>
    </w:p>
    <w:p>
      <w:r>
        <w:t>Le recourant, qui succombe, supportera les frais envers l'État, qui seront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