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P/9674/2020 vom 18. Juni 2021</w:t>
      </w:r>
    </w:p>
    <w:p>
      <w:r>
        <w:t>GE Cour de justice, 2021-06-18, FR</w:t>
      </w:r>
    </w:p>
    <w:p>
      <w:r>
        <w:rPr>
          <w:b/>
        </w:rPr>
        <w:t xml:space="preserve">Quelle: </w:t>
      </w:r>
      <w:r>
        <w:t>https://mcp.opencaselaw.ch/entscheid/ge_gerichte_P_9674_2020</w:t>
      </w:r>
    </w:p>
    <w:p>
      <w:r>
        <w:t>FR: GE_GERICHTE P/9674/2020 du 18 juin 2021</w:t>
      </w:r>
    </w:p>
    <w:p>
      <w:r>
        <w:t>IT: GE_GERICHTE P/9674/2020 del 18 giugno 2021</w:t>
      </w:r>
    </w:p>
    <w:p>
      <w:pPr>
        <w:pStyle w:val="Heading2"/>
      </w:pPr>
      <w:r>
        <w:t>Regeste</w:t>
      </w:r>
    </w:p>
    <w:p>
      <w:r>
        <w:t>LOI COVID-19;PRÊT DE CONSOMMATION;ESCROQUERIE | CP.146; CP.251; OCaS-COVID-19</w:t>
      </w:r>
    </w:p>
    <w:p>
      <w:pPr>
        <w:pStyle w:val="Heading2"/>
      </w:pPr>
      <w:r>
        <w:t>Erwägungen</w:t>
      </w:r>
    </w:p>
    <w:p>
      <w:r>
        <w:rPr>
          <w:b/>
        </w:rPr>
        <w:t>E. 1</w:t>
      </w:r>
    </w:p>
    <w:p>
      <w:r>
        <w:t>L'appel est recevable pour avoir été interjeté et motivé selon la forme et dans les délais prescrits (art. 398 et 399 du Code de procédure pénale [CPP]). Il sera pris acte du retrait de l'appel du tiers saisi. La Chambre limite son examen aux violations décrites dans l'acte d'appel (art. 404 al. 1 CPP), sauf en cas de décisions illégales ou inéquitables (art. 404 al. 2 CPP).</w:t>
      </w:r>
    </w:p>
    <w:p>
      <w:r>
        <w:rPr>
          <w:b/>
        </w:rPr>
        <w:t>E. 2.1</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w:t>
      </w:r>
    </w:p>
    <w:p>
      <w:r>
        <w:rPr>
          <w:b/>
        </w:rPr>
        <w:t>E. 2.2.1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2.2.2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l'ayant-droit économique, constitue un faux dans les titres au sens de l'art. 251 CP (arrêts du Tribunal fédéral 6B_383/2019 du 8 novembre 2019 consid. 8.3.3.2 non publié aux ATF 145 IV 470 ; 6B_261/2020 du 10 juin 2020 consid. 4.2 ; 6B_891/2018 du 31 octobre 2018 consid. 3.3.1 et la jurisprudence citée). Même munies d'une quittance, les factures ne sont pas des titres, dès lors qu'elles ne contiennent en règle générale que de simples allégations de l'auteur concernant la prestation due par le destinataire (ATF 142 IV 119 consid. 2.2 p. 121 ; 138 IV 130 consid. 2.2.1 p. 135 ; 125 IV 17 consid. 2/aa p. 22 ; 121 IV 131 consid. 2c p. 134 ; arrêt du Tribunal fédéral 6B_1096/2015 du 9 décembre 2015 consid. 3.3.2). Une valeur probante accrue peut cependant exceptionnellement être reconnue à une facture au regard de l'usage concret auquel elle est destinée. Ainsi, une facture acquiert le caractère de titre non seulement après la comptabilisation de ses données, et donc son introduction dans la comptabilité commerciale en tant que pièce comptable, mais déjà par son établissement. En d'autres termes, une facture devient un faux intellectuel lorsqu'elle est principalement destinée à servir de preuve pour la comptabilité (aspect objectif) et que son auteur souhaite explicitement falsifier la comptabilité par ce moyen ou l'utiliser comme partie intégrante de sa propre comptabilité (aspect subjectif). Il serait néanmoins erroné de qualifier de titre une facture uniquement parce que son destinataire a l'obligation de tenir une comptabilité et qu'elle fera donc office de pièce comptable. Il faut plutôt prendre en considération qu'en principe une facture n'est érigée en pièce comptable qu'après qu'un examen ait eu lieu. Cet examen incombe au destinataire ou, pour lui, à la personne responsable de la comptabilité. La situation n'est différente que si la fausse facture vise principalement à falsifier la comptabilité du destinataire de la facture (ATF 138 IV 130 consid. 2.2.1, 2.3, 2.4.2 et 2.4.3 p. 135). Une valeur probante accrue est également reconnue à une facture lorsque celui qui l'a émise revêt à l'égard du destinataire une position assimilable à celle d'un garant. Il doit alors résulter des circonstances concrètes que le document est censé être digne de confiance de telle sorte qu'une vérification par le destinataire ne saurait être exigée. Tel sera notamment le cas lorsqu'un rapport de confiance particulier existe entre l'auteur et le destinataire (ATF 138 IV 130 consid. 2.2.1 p. 135 ; 117 IV 165 consid. 2c p. 168 ; 103 IV 178 consid. IV p. 183 ; arrêts du Tribunal fédéral 6B_589/2009 du 14 août 2008 consid. 2.1.1, ainsi que 6B_50/2017 du 17 octobre 2017 consid. 2.3 [médecin par rapport à l'assurance-maladie] ; 119 IV 54 consid. 2d/dd p. 58 [architecte en charge de vérifier les factures] ; 120 IV 361 consid. 2c p. 373 [organe dirigeant d'une succursale bancaire] ; pour d'autres exemples cf. ATF 125 IV 273 consid. 3a/bb p. 278). Une telle position, assimilable à celle d'un garant, a en revanche été niée, en particulier, dans la mesure où une facture a été établie par une personne qui n'était pas intéressée au procès dans lequel le document avait été produit (ATF 121 IV 131 consid. 2c p. 134). Les obligations de diligence, d'avis ou de rendre des comptes, ou les obligations découlant du principe de la bonne foi ne fondent pas une position analogue à celle d'un garant, à moins qu'il existe entre les intéressés une relation particulièrement étroite, de longue durée ou basée sur une confiance accrue (arrêt du Tribunal fédéral 6B_844/2011 du 18 juin 2012 consid. 3.2.3).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120 IV 25 consid. 3f p. 29). Le fait qu'un contrat de vente au contenu faux ait été rédigé par la fiduciaire du vendeur ne suffit pas à lui conférer une valeur probante accrue (ATF 146 IV 258 consid. 1.2.4 p. 265). Le contrat de vente simulé ne constitue pas non plus un faux intellectuel dans les titres du seul fait qu'il devait servir à tromper l'épouse du vendeur dans le cadre de la liquidation de leur régime matrimonial (ATF 146 IV 258 consid. 1.2.5-1.2.7 p. 265).</w:t>
      </w:r>
    </w:p>
    <w:p>
      <w:r>
        <w:rPr>
          <w:b/>
        </w:rPr>
        <w:t>E. 2.2.3</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 15).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Le caractère illicite de l'avantage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270s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 2.3.1. Dans le contexte de la pandémie de coronavirus (COVID 19), les autorités fédérales ont pris de nombreuses mesures fondées sur le droit d'urgence (art. 185 al. 3 Cst) et notamment des mesures visant à atténuer les conséquences économiques de la pandémie. Le 25 mars 2020, le Conseil fédéral a publié un communiqué de presse relatif à l'OCaS-COVID-19, adoptée le même jour et entrée en vigueur le lendemain[1]. Il y est notamment expliqué ceci : Aide immédiate sous la forme de crédits transitoires spécifiques : la Confédération va mettre sur pied un programme de garantie (...) visant à ce que les PME affectées (entreprises individuelles, sociétés de personnes et personnes morales) obtiennent des crédits bancaires transitoires (...). L'objectif est que les entreprises concernées puissent accéder rapidement et simplement à des crédits représentant jusqu'à 10% de leur chiffre d'affaires ou d'un montant de 20 millions de francs au plus. Les montants jusqu'à 0,5 million de francs seront versés immédiatement par les banques et seront couverts en totalité par la garantie de la Confédération. Cette garantie sera ramenée à 85% pour les montants dépassant ce plafond, qui devront alors faire l'objet d'un bref examen par les banques. Ainsi, la Confédération garantit aux banques prêteuses, par l'intermédiaire des organisations de cautionnement (dont la partie plaignante), la totalité du montant des crédits accordés aux PME selon le mécanisme mis en place par l'ordonnance, qui impose notamment aux banques d'utiliser exclusivement, pour l'octroi du crédit, un formulaire type mis en ligne par le secrétariat d'Etat à l'économie (SECO), sans modification aucune. La banque doit refuser d'accorder le crédit si la demande du preneur de crédit n'a pas été entièrement remplie (cf. annexe 1 OCaS-COVID-19, art. 3.1 et 2.3). Selon le commentaire de l'Administration fédérale des finances (AFF), publié avec l'OCaS-COVID-19[2], pour les crédits COVID-19 allant jusqu'à 500 000 francs, la Confédération prend en charge le risque de perte total, plus un intérêt annuel. Grâce à cette couverture, la banque peut appliquer une procédure de contrôle sommaire : *         La personne exerçant une activité indépendante ou l'entreprise remplit la convention de crédit COVID-19 standardisée fournie par voie électronique, déclarant ainsi qu'elle remplit les conditions d'octroi. Elles soumettent la convention de crédit à leur banque ou, le cas échéant, à F______ SA. *         Le crédit de transition ne peut dépasser 10% du chiffre d'affaires d'une année. La banque (ou F______) vérifie si le requérant est client et s'il remplit les conditions pour bénéficier d'un crédit COVID-19 sur les bases de sa déclaration. Aucun autre contrôle n'est effectué. Si les conditions sont remplies, la banque envoie la convention de crédit aux organisations de cautionnement. Dès que la convention est envoyée à l'organisation de cautionnement, le cautionnement est considéré comme approuvé et la banque peut mettre les fonds à disposition immédiatement. En principe, la libération des fonds du crédit entraîne également l'entrée en vigueur du cautionnement. Cette procédure simplifiée est destinée à fournir une aide d'urgence rapidement et sans formalités. Elle est appliquée pour les travailleurs indépendants et les PME dont le chiffre d'affaires annuel ne dépasse pas 5 millions de francs. 2.3.2. L'ordonnance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l'AFF précise à ce sujet que les crédits visés à l'art. 3 sont généralement octroyés sans contrôle des indications fournies par le requérant, et même pour les crédits visés à l'art. 4, qui sont urgents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CP primeraient sur la disposition pénale de l'art. 23. L'infraction nouvellement établie dans l'ordonnance s'apparente en particulier à la soustraction d'impôt en ce qui concerne la manière dont elle est commise et les biens juridiques protégés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En revanche, une sanction de l'acte de négligence n'est pas prévue, car les demandes à présenter selon l'ordonnance sont inédites et le requérant inexpérimenté peut très bien commettre, en les remplissant, une erreur évitable en tant que telle. Il est également clair que l'incitation et la complicité ne sont pas punissables, car l'infraction constitue une contravention (art. 105 al. 2 CP) et la participation n'est pas punissable. La doctrine qui s'est penchée sur la question, notamment B. MÄRKLI et L. GUT (Missbrauch von Krediten nach COVID-19-Solidarbürgschaftsverordnung, in Pratique Juridique Actuelle 6/2020 p.722ss), relève que dans le cas d'une demande de crédit COVID-19, l'astuce peut résulter de simples mensonges sur la nécessité du crédit (fausses déclarations sur des éléments selon l'art. 3 al. 1 lit. a-d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 De même, ces auteurs retiennent que le formulaire de prêt COVID peut être considéré comme un titre, puisque celui-ci fonde l'existence de la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tout en laissant la question ouverte au vu de la jurisprudence restrictive en matière de faux intellectuel. A noter qu'en tout état de cause, l'art. 23 OCaS-COVID-19 ne constitue manifestement pas une lex specialis par rapport à d'autres dispositions pénales : le texte même de cette disposition (« à moins qu'il n'ait commis une infraction plus grave au sens du code pénal ») pose le principe de sa subsidiarité. 2.4.1. En l'espèce, l'appelant a finalement admis en audience d'appel avoir menti lorsqu'il a rempli les deux demandes de prêts COVID. Il avait parfaitement compris la teneur du formulaire standardisé et le mécanisme mis en place, et savait clairement qu'aucun contrôle approfondi ne serait opéré. Il a profité de la situation sanitaire, de la mise en place de ces prêts dans un cadre d'aide urgente aux sociétés en difficulté dans une période de sidération de toute la société suisse et même mondiale. Il a augmenté massivement le chiffre d'affaires déclaré et le nombre d'employés de sa société, à deux reprises, afin d'obtenir le plus d'argent possible, dans l'intention, dès le début, d'affecter les fonds, en quasi-totalité, au paiement de dettes personnelles et à des fins qui lui sont propres et non pour sa société, laquelle a d'ailleurs rapidement fait faillite peu après faute d'avoir reçu la moindre injection de fonds. Les formulaires remplis par l'appelant et soumis à chacun des établissements concernés liaient ceux-ci, leur imposant de faire droit à la demande de crédit sans procéder à une quelconque vérification, conformément aux obligations découlant de l'OCaS-COVID-19 : si les établissements voulaient bénéficier de la garantie solidaire mise en place, ils ne pouvaient procéder à aucune vérification et devaient libérer immédiatement les fonds. Dans ces circonstances, d'une part, il ne saurait être question d'une quelconque coresponsabilité de la dupe, puisque celle-ci se voyait en réalité interdite de procéder à des vérifications, en raison de circonstances particulières. On se trouve manifestement dans une situation où, de par la loi, les seules vérifications auxquelles la dupe était tenue de procéder consistaient dans la lecture du formulaire. En mentant sciemment dans ce formulaire, l'appelant profitait de la situation d'urgence, ce qui constitue l'exploitation d'un rapport de confiance particulier lié à la nature des prêts COVID-19 et donc une manoeuvre astucieuse. Le mensonge était caractérisé dans chaque demande, puisqu'il portait non seulement sur le chiffre d'affaires et le nombre d'employés de l'entreprise, mais aussi sur l'affectation des fonds et sur son intention (inexistante) de rembourser les fonds reçus. Enfin, dans le cas de la G______, l'appelant a également sciemment menti en affirmant faussement ne pas avoir formé d'autre demande de prêt. Ce faisant, il a incité les deux institutions à lui verser des montants conséquents qu'il a dilapidés sans aucune intention de remboursement. Son comportement réunit tous les éléments constitutifs d'une escroquerie : une manoeuvre astucieuse intentionnelle, consistant à la fois en des affirmations fallacieuses (chiffre d'affaires, nombre d'employés, existence d'une demande précédente) et la dissimulation de faits vrais (affectation des fonds et intention de rembourser), ayant conduit les lésés à procéder à des actes préjudiciables aux intérêts pécuniaires d'un tiers (l'octroi de prêts indus et irrécouvrables, portant de la sorte atteinte aux intérêts des organismes de cautionnement). Par son comportement l'appelant s'est ainsi rendu coupable, à deux reprises, d'escroquerie. 2.4.2. Les conventions de prêt COVID-19 signées par l'appelant constituent manifestement des faux matériels, leur contenu étant en tout point mensonger. Or, ces documents étaient nécessaires et suffisants, à eux seuls, à engager l'appelant et les établissements concernés dans des prêts portant sur des montants très importants. Compte tenu de la nature particulière de ces prêts, ces documents se voyaient ainsi conférer une valeur particulière, différente de celle d'un autre écrit. Ils constituent une déclaration unilatérale, invérifiable par nature, du client par rapport à sa banque, fondant des droits et obligations réciproques. De par la loi, en l'espèce l'OCaS-COVID-19, ces documents sont dignes de confiance, de telle sorte qu'une vérification par le destinataire n'est pas nécessaire et ne saurait être exigée, tout comme par exemple le formulaire A rempli par le client d'une banque au moment de l'ouverture d'une relation. Ils constituent dès lors des titres et l'appelant, qui les a sciemment remplis et utilisés, doit être reconnu coupable d'infraction à l'art. 251 CP. 2.4.3. Les faits reprochés à l'appelant tombent donc bien sous le coup de dispositions du code pénal ; l'application subsidiaire de l'art. 23 OCaS-COVID-19 est exclue.</w:t>
      </w:r>
    </w:p>
    <w:p>
      <w:r>
        <w:rPr>
          <w:b/>
        </w:rPr>
        <w:t>E. 3</w:t>
      </w:r>
    </w:p>
    <w:p>
      <w:r>
        <w:t>3.1.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w:t>
      </w:r>
    </w:p>
    <w:p>
      <w:r>
        <w:rPr>
          <w:b/>
        </w:rPr>
        <w:t>E. 3.3</w:t>
      </w:r>
    </w:p>
    <w:p>
      <w:r>
        <w:t>Selon l'art. 42 al. 1 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rPr>
          <w:b/>
        </w:rPr>
        <w:t>E. 3.4</w:t>
      </w:r>
    </w:p>
    <w:p>
      <w:r>
        <w:t>En l'espèce, la faute de l'appelant est très importante. Il a, à deux reprises, trompé les autorités, dans le contexte tout à fait particulier de la pandémie de COVID-19, pour s'enrichir sans vergogne au détriment de la collectivité. Son comportement démontre un mépris complet de l'intérêt commun et des valeurs de solidarité, de vivre ensemble et de protection du tissu économique et entrepreneurial qui ont présidé aux mesures de soutien économique des autorités. La situation personnelle de l'appelant, dont rien ne permet d'établir faute de pièces qu'elle était véritablement obérée au moment des faits, n'explique ni n'excuse son comportement. Au contraire, l'appelant vivait confortablement, disposait d'un logement dans une villa au loyer abordable, avec son épouse et ses enfants et ne subissait pas plus que d'autres les conséquences de la pandémie. Il bénéficiait du soutien de ses proches, dont il a admis qu'ils l'avaient déjà soutenu financièrement par le passé, mais a préféré escroquer les institutions bancaires et, in fine , les organismes de cautionnement financés par la collectivité. Les explications de l'appelant au sujet des fonds reçus - douteuses et invérifiables - ne permettent pas de déterminer avec certitude la véritable utilisation des fonds, mais conduisent en tout état de cause à retenir qu'ils ont été dilapidés à des fins personnelles sans lien avec la vocation des prêts COVID. Son mobile est éminemment égoïste. Compte tenu de la gravité des faits, seule une peine privative de liberté entre en considération. L'infraction la plus grave, pour laquelle la peine de base sera fixée à 18 mois, est l'escroquerie, soit la première demande de prêt, du 30 mars 2020 ; cette peine sera aggravée de quatre mois (peine théorique de six mois) pour le faux dans les titres concomitant, de dix mois (peine théorique d'une année) pour la seconde escroquerie et de quatre mois (peine théorique de six mois) pour le second faux dans les titres, portant la peine d'ensemble à 36 mois. L'appelant remplit la condition objective du sursis. Compte tenu de ses nombreux récents antécédents, qui démontrent un manque certain de respect de l'ordre et de la sécurité publics, le pronostic quant à son comportement futur est mitigé ; toutefois, dans la mesure où il a déjà subi une détention d'une certaine durée, la Cour veut croire que l'octroi du sursis partiel - seul envisageable en l'espèce - sera de nature à l'amener à un comportement plus adéquat à l'avenir. Dans cette mesure, la partie ferme de la peine sera fixée à neuf mois, le solde étant assorti du sursis. Au vu des nombreux antécédents de l'appelant, qui ne l'ont manifestement pas dissuadé d'agir dans la présente espèce, et semblent au contraire lui avoir donné un certain sentiment d'impunité, le délai d'épreuve sera fixé à cinq ans, soit le maximum légal, afin de convaincre l'appelant de se comporter de façon irréprochable à l'avenir. Le prononcé de la peine présentement fixée conduit à la libération immédiate de l'appelant, puisque la détention avant jugement et en exécution anticipée de peine subie, déduites de la peine prononcée, sont légèrement supérieures à la partie ferme de la peine (art. 51 CP).</w:t>
      </w:r>
    </w:p>
    <w:p>
      <w:r>
        <w:rPr>
          <w:b/>
        </w:rPr>
        <w:t>E. 4</w:t>
      </w:r>
    </w:p>
    <w:p>
      <w:r>
        <w:t>4.1.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4.2</w:t>
      </w:r>
    </w:p>
    <w:p>
      <w:r>
        <w:t>L'application de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w:t>
      </w:r>
    </w:p>
    <w:p>
      <w:r>
        <w:rPr>
          <w:b/>
        </w:rPr>
        <w:t>E. 4.3</w:t>
      </w:r>
    </w:p>
    <w:p>
      <w:r>
        <w:t>En l'espèce, l'appelant est arrivé en Suisse à l'aube de l'âge adulte, rejoignant ses frères qui s'y trouvaient déjà. Il a ainsi passé la majeure partie des années essentielles et marquantes de son éducation à l'étranger. Il parle couramment le français, mais s'exprime mieux dans sa langue maternelle, n'ayant d'ailleurs pas hésité, en cours de procédure, à se prévaloir de sa méconnaissance du français pour expliquer ses actes, explication qu'il a à bon escient renoncé à invoquer en appel. Son épouse et ses trois enfants sont en Suisse, tout comme une bonne partie de sa famille (frères et soeurs). Ses parents, dont il est manifestement proche, vivent encore au Kosovo, où il a acquis des terrains et dispose donc de ressources non négligeables. Compte tenu par ailleurs du jeune âge de ses trois enfants, qui connaissent de plus l'albanais même s'ils préfèrent le français, il pourrait être attendu d'eux et de leur mère qu'ils rejoignent l'appelant au Kosovo. Celui-ci ne dispose que d'une autorisation de séjour et non d'un permis d'établissement ; son activité professionnelle ne suffit manifestement pas à subvenir aux besoins de sa famille, puisqu'il explique avoir commis les actes reprochés en raison de difficultés financières et avoir dû, par le passé, faire appel à la générosité de ses proches. Cela étant, l'appelant a construit son existence en Suisse et y a creusé ses racines. Il vit en Suisse depuis plus de 20 ans, et son renvoi constituerait manifestement une atteinte grave à sa vie privée et, indirectement, à celle de sa femme et de leurs trois enfants. Son réseau familial et amical en Suisse est solide ; ses enfants y sont régulièrement scolarisés et son épouse exerce une activité lucrative régulière. Il dispose d'une offre d'emploi ferme qui devrait lui permettre de réaliser un revenu plus stable et plus élevé que celui qu'il disait retirer de l'activité au sein de sa propre société. Enfin, la perspective d'un non-renouvellement de son autorisation de séjour devra certainement l'inciter à concrétiser enfin les promesses faites tout au long de la procédure et à tout entreprendre pour procéder au remboursement rapide des dettes liées aux faits de la présente procédure, notamment par la vente de ses propriétés au Kosovo. En effet, le non-prononcé de l'expulsion dans la présente procédure ne liera pas les autorités administratives, s'agissant en l'espèce d'une expulsion non-obligatoire et non d'une renonciation à l'expulsion au sens de l'art. 66a al. 2 CP (art. 62 al. 2 LEI a contrario ). Ainsi, tout bien pesé, il n'y a pas lieu, en l'état, de prononcer une expulsion facultative à l'encontre de l'appelant, une telle mesure étant susceptible de porter une atteinte disproportionnée à sa vie privée et à ses perspectives de réinsertion.</w:t>
      </w:r>
    </w:p>
    <w:p>
      <w:r>
        <w:rPr>
          <w:b/>
        </w:rPr>
        <w:t>E. 5</w:t>
      </w:r>
    </w:p>
    <w:p>
      <w:r>
        <w:t>L'appelant a formellement acquiescé aux conclusions civiles, auxquelles les premiers juges avaient fait intégralement droit. Elles seront dès lors confirmées.</w:t>
      </w:r>
    </w:p>
    <w:p>
      <w:r>
        <w:rPr>
          <w:b/>
        </w:rPr>
        <w:t>E. 6</w:t>
      </w:r>
    </w:p>
    <w:p>
      <w:r>
        <w:t>L'appelant, qui obtient partiellement gain de cause, supportera la moitié des frais de la procédure envers l'Etat (art. 428 CPP). Toutefois, la totalité des frais en lien avec le séquestre du véhicule J______ sera mise à sa charge, ce séquestre ayant conservé son caractère provisoire et le véhicule n'ayant pas encore été vendu en raison de l'appel. Le tiers saisi, qui a retiré son appel, supportera un émolument de CHF 300.-. Le verdict de culpabilité étant confirmé, l'appelant supportera l'intégralité des frais de la procédure préliminaire et de première instance. Seule la moitié de l'émolument de jugement sera en revanche mise à sa charge, pour tenir compte de l'accueil partiel de son appel quant à la sanction et à la mesure.</w:t>
      </w:r>
    </w:p>
    <w:p>
      <w:r>
        <w:rPr>
          <w:b/>
        </w:rPr>
        <w:t>E. 7</w:t>
      </w:r>
    </w:p>
    <w:p>
      <w:r>
        <w:t>Il sera donné acte à l'appelant de ce qu'il a renoncé à toute indemnisation, notamment pour ses frais de défense en appel. Il sera fait droit aux conclusions en indemnisation de la partie plaignante, qui apparaissent raisonnables et auxquelles l'appelant a également acquiescé. Il sera dès lors condamné à verser, conformément à l'art. 433 CPP, une indemnité de CHF 1'050.- correspondant à sept heures d'activité à CHF 150.- / heure.</w:t>
      </w:r>
    </w:p>
    <w:p>
      <w:r>
        <w:rPr>
          <w:b/>
        </w:rPr>
        <w:t>E. 8</w:t>
      </w:r>
    </w:p>
    <w:p>
      <w:r>
        <w:t>Considéré globalement, l'état de frais produit par M e L______, ancien défenseur d'office de l'appelant, satisfait les exigences légales et jurisprudentielles régissant l'assistance judiciaire gratuite en matière pénale. La rémunération de M e L______ sera partant arrêtée à CHF 1'777.05 correspondant à sept heures et demie d'activité au tarif de CHF 200.-/heure plus la majoration forfaitaire de 10%, l'activité dépassant dorénavant 30 heures, et l'équivalent de la TVA au taux de 7.7% en CHF 127.05.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