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P/9667/2014 vom 23. August 2016</w:t>
      </w:r>
    </w:p>
    <w:p>
      <w:r>
        <w:t>GE Cour de justice, 2016-08-23, FR</w:t>
      </w:r>
    </w:p>
    <w:p>
      <w:r>
        <w:rPr>
          <w:b/>
        </w:rPr>
        <w:t xml:space="preserve">Quelle: </w:t>
      </w:r>
      <w:r>
        <w:t>https://mcp.opencaselaw.ch/entscheid/ge_gerichte_P_9667_2014</w:t>
      </w:r>
    </w:p>
    <w:p>
      <w:r>
        <w:t>FR: GE_GERICHTE P/9667/2014 du 23 août 2016</w:t>
      </w:r>
    </w:p>
    <w:p>
      <w:r>
        <w:t>IT: GE_GERICHTE P/9667/2014 del 23 agosto 2016</w:t>
      </w:r>
    </w:p>
    <w:p>
      <w:pPr>
        <w:pStyle w:val="Heading2"/>
      </w:pPr>
      <w:r>
        <w:t>Regeste</w:t>
      </w:r>
    </w:p>
    <w:p>
      <w:r>
        <w:t>DISPOSITIONS PÉNALES DE LA LCR; EXCUSABILITÉ | LCR.90.3; LCR.90.4; LCR.100.4; CP.42; CP.47; CPP.428;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teneur de l'art. 90 al. 2 LCR, celui qui, par une violation grave d'une règle de la circulation, crée un sérieux danger pour la sécurité d'autrui ou en prend le risque est puni d'une peine privative de liberté de trois ans au plus ou d'une peine pécuniaire. Selon l'art. 26 LCR,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 vitesse maximale générale des véhicules peut atteindre 50 km/h dans les localités, lorsque les conditions de la route, de la circulation et de visibilité sont favorables (art. 4a al. 1 de l'ordonnance sur les règles de la circulation routière du 13 novembre 1962 [OCR ; RS 741.11]). Selon la jurisprudence, le cas est objectivement grave, c'est-à-dire sans égard aux circonstances concrètes, en cas de dépassement de la vitesse autorisée de 25 km/h ou plus à l'intérieur des localités (ATF 132 II 234 consid. 3.1 p. 237 ss ; 124 II 259 consid. 2b p. 261 ss ; arrêts du Tribunal fédéral 6B_865/2014 du 2 avril 2015 consid. 1.5.1 et 6B_1011/2013 du 13 mars 2014 consid. 2.1). 2.1.2.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(art. 90 al. 4 let. b LCR). L'art. 90 al. 3 et 4 LCR, entré en vigueur le 1 er janvier 2013, consacre une troisième catégorie d'infraction aux règles de la circulation routière sous la forme d'un crime (cf. l'art. 90 al. 1 LCR constituant une contravention et l'art.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Conseil fédéral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conserve une marge de manoeuvre, certes restreinte, afin d'exclure, dans des constellations particulières, la réalisation des conditions subjectives lors d'un dépassement de vitesse particulièrement important au sens de l'art. 90 al. 4 LCR (ATF 142 IV 137 consid. 11.2 p. 151). 2.2.1. Selon l'art. 2 al. 1 du code pénal suisse du 21 décembre 1937 (CP ; RS 311.0), applicable par le renvoi de l'art. 102 LCR,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 86 s.). L'auteur est mis en jugement au moment où une juridiction statue sur les actes qui lui sont reprochés en tant que juge du fond. Lorsque la juridiction dispose d'un pouvoir de réforme, l'auteur est "mis en jugement" au sens de l'art. 2 al. 2 CP au moment du prononcé de l'arrêt (ATF 135 IV 113 consid. 2.4 p. 115 ; arrêt du Tribunal fédéral 6B_171/2007 du 23 juillet 2007 consid. 5.1). Pour déterminer quel est le droit le plus favorable, il y a lieu d'examiner l'ancien et le nouveau droit dans leur ensemble et de comparer les résultats auxquels ils conduisent dans le cas concret (ATF 134 IV 82 consid. 6.2.1). Doivent en principe être examinées au premier chef les conditions légales de l'infraction litigieuse. Lorsque le comportement est punissable tant en vertu de l'ancien que du nouveau droit, il y a lieu de procéder à une comparaison d'ensemble des sanctions encourues (ATF 135 IV 113 consid. 2.2 p. 114).</w:t>
      </w:r>
    </w:p>
    <w:p>
      <w:r>
        <w:rPr>
          <w:b/>
        </w:rPr>
        <w:t>E. 2.2</w:t>
      </w:r>
    </w:p>
    <w:p>
      <w:r>
        <w:t>Selon l'art. 100 ch. 4 LCR dans sa version en vigueur au moment des faits,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L'impunité dans les situations visées à l'art. 100 ch. 4 LCR aurait pu se déduire de l'art. 14 CP, voire de l'art. 17 CP (état de nécessité), mais le législateur a préféré régler expressément cette question dans la LCR, par souci de clarté et pour mettre l'accent sur les obligations des conducteurs accomplissant une course officielle urgente (FF 1955 II p. 74). Si le comportement du conducteur est couvert par l'art. 100 ch. 4 LCR, l'illicéité de l'acte est alors exclue.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un sens étroit. Ce qui est déterminant, c'est la mise en danger de biens juridiquement protégés, dont les dommages peuvent être considérablement aggravés par une petite perte de temps (sur la notion de course urgente, cf. arrêts du Tribunal fédéral 6B_1102/2015 du 20 juillet 2016 consid. 2.1 ; 6B_1006/2013 du 25 septembre 2014 consid. 3.4 ; 6B_689/2012 du 3 avril 2013 consid. 2.1 ; 6B_288/2009 du 13 août 2009 consid. 3 ; 6B_20/2009 du 14 avril 2009 consid. 4 ; cf. également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l'énergie et de la communication [ci-après : Notice du DETEC], ch. 1). Pour apprécier le degré d'urgence, les conducteurs de véhicules et les chefs des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(Notice du DETEC ch. 1). L'autorisation de ne pas respecter les règles de la circulation va de pair avec un devoir de prudence accru (arrêt du Tribunal fédéral 4C.3/1997 du 6 juin 2000 consid. 3b). Plus la règle de circulation violée est importante du point de vue de la sécurité, plus la prudence dont le conducteur du véhicule prioritaire doit faire preuve est grande (arrêts du Tribunal fédéral 6B_738/2012 du 18 juillet 2013 consid. 2.3.2 et 6S.162/2003 du 3 août 2003 consid. 3.1). En outre,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Celui-ci implique notamment que le risque pris ne doit pas être excessif par rapport au but poursuivi (C. MIZEL, "De l'exigence actuelle de prudence lors des courses officielles urgentes", SJ 2005 II p. 231, p. 239 s.). Compte tenu de l'interprétation restrictive de la proportionnalité par le Tribunal fédéral en cas de courses d'urgence alors que les policiers avaient commis des délits au sens de l'art. 90 al. 2 LCR (voir arrêts du Tribunal fédéral 6B_20/2009 du 14 avril 2009 et 6B_288/2009 du 13 août 2009), Yvan JEANNERET relève qu'en cas d'infraction commise par un policer d'une gravité telle qu'elle tombe sous le coup de l'art. 90 al. 3 LCR, la proportionnalité devrait, sauf situation extraordinaire, être niée (Y. JEANNERET, "Via Sicura : le nouvel arsenal pénal", Circulation routière 2/2013, p. 31 ss, p. 39).</w:t>
      </w:r>
    </w:p>
    <w:p>
      <w:r>
        <w:rPr>
          <w:b/>
        </w:rPr>
        <w:t>E. 2.2.3</w:t>
      </w:r>
    </w:p>
    <w:p>
      <w:r>
        <w:t>L'art. 100 ch. 4 LCR dans sa version en vigueur depuis le 1 er août 2016 stipule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(nouvelle teneur selon le ch. 4 de l'annexe à la loi fédérale du 18 mars 2016 sur les douanes ; RO 2016 2429 ; FF 2015 2657). La modification de l'art. 100 ch. 4 LCR fait notamment suite à deux motions parlementaires visant à mieux tenir compte du caractère spécial du travail accompli par les services d'urgence (Motions Zanetti et Chopard-Acklin du 24 septembre 2014 [14.3792 "Interventions des services d'urgence. Optimiser la législation sur la circulation routière" et 14.3800 "Interventions des services d'urgence. Optimiser la législation sur la circulation routière"]). En substance, ces motions demandaient d'une part qu'il soit possible de justifier une infraction aux règles de la circulation routière en vertu de l'art. 100 ch. 4 LCR même si aucun signal d'avertissement n'a été donné pour ne pas contrevenir à l'objectif de la course (par exemple lors d'une observation) et d'autre part qu'il soit stipulé que le tribunal peut exempter de toute peine le conducteur du véhicule ou atténuer cette peine si les conditions requises pour justifier l'infraction en vertu de l'art. 100 ch. 4 LCR ne sont pas toutes réunies (par exemple non-respect du principe de proportionnalité ; voir Message du Conseil fédéral du 6 mars 2015 concernant la modification de la loi fédérale sur les douanes, FF 2015 2657 2675 [ci-après : Message du 6 mars 2015]). La nouvelle disposition vise avant tout l'exemption de peine en cas de course officielle pour des raisons tactiques. Les cas dans lesquels le Tribunal peut exempter de peine l'auteur sont précisés et complétés. Lors d'une course envisagée à l'art. 100 ch. 4 LCR, le conducteur doit se conformer au principe de proportionnalité (Message du 6 mars 2015, FF 2015 2657 2700). Le texte légal est clair à cet égard, le respect de "la prudence imposée par les circonstances" demeurant une condition. Par ailleurs, il est désormais prévu que le juge puisse atténuer la peine notamment si le conducteur n'a pas fait preuve de la prudence imposée par les circonstances. Selon le message du 6 mars 2015, les motifs d'atténuation de la peine sont moins restrictifs que ceux mentionnés à l'art. 48 CP. La peine encourue ne pourra pas être atténuée si le conducteur n'a nullement fait preuve de la prudence imposée par les circonstances (Message du 6 mars 2015, FF 2015 2657 2701). 2.3.1. La nouvelle teneur de l'art. 100 ch. 4 LCR, entrée en vigueur avant le prononcé du présent arrêt, paraît plus favorable que l'ancien droit, en principe applicable à l'appelant, au vu notamment de la possibilité d'atténuer la peine dans certaines circonstances. C'est en conséquence le nouveau droit qui sera appliqué en l'espèce. 2.3.2. Ilest admis par toutes les parties que l'appelant a commis un excès de vitesse de 82 km/h, marge de sécurité déduite, sur un tronçon limité à 50 km/h. Il est également admis que l'appelant a agi dans le cadre d'une course officielle urgente – à tout le moins qu'il se représentait comme telle (art. 13 CP) – et qu'il a roulé tout au long de sa mission alarme et feux bleus enclenchés, soit en donnant les signaux d'avertissement nécessaires. La nécessité de principe d'engager une course d'urgence n'est enfin pas remise en cause, le Tribunal de police ayant retenu, sans que le MP ne le conteste en appel, que l'appelant pouvait considérer que son véhicule était le mieux placé pour intervenir. Reste à déterminer si l'appelant a observé la prudence qu'imposaient les circonstances et respecté le principe de proportionnalité, étant relevé que cette exigence n'a nullement été abandonnée lors de la modification de l'art. 100 ch. 4 LCR. L'appelant a roulé à 138 km/h aux portes du centre-ville de Genève, dans une zone située encore en localité, à proximité immédiate d'un parc public. La proportionnalité d'un dépassement de vitesse de 82 km/h en ville doit assurément être niée si l'objectif poursuivi par l'auteur est de garantir la sécurité publique et d'arrêter un fugitif, le risque créé dépassant celui à éviter. L'appelant ne semble d'ailleurs pas l'ignorer, une large partie de son argument consistant à essayer de démontrer que, dans sa représentation des faits, des vies humaines étaient en jeu, de sorte que le danger à éviter était aussi important voire plus que le danger créé par son comportement. Sa bonne foi paraît douteuse sur ce point dès lors qu'il n'a pas évoqué dans ses premières déclarations une telle compréhension de la situation. Par ailleurs, ainsi que l'a relevé le premier juge, l'appelant ne pouvait déduire des informations fournies par la CECAL, lesquelles ne faisaient mention d'aucun accident ou blessé, qu'il existait un danger imminent pour l'intégrité corporelle ou la vie humaine. Les indications données par la CECAL sont nécessairement brèves. Les policiers n'en concluent pas pour autant à chaque signalement qu'il existe un danger imminent pour la vie. En l'occurrence, une telle interprétation relevait de la pure hypothèse. Si l'appelant a effectivement éprouvé un doute à la mention d'une personne mise en danger concrètement par celui qu'il a pris pour un fuyard, l'urgence de la situation n'empêchait pas une vérification, qui aurait pu être effectuée par son collègue et n'aurait pas pris plus de quelques secondes. L'appelant ne peut ainsi prétendre avoir agi parce qu'il pensait à un risque imminent pour l'intégrité corporelle d'autrui ou la vie. Admettrait-on la version de l'appelant, son action demeurerait disproportionnée au but visé. Au moment où la photographie a été prise par le radar, l'appelant s'apprêtait à franchir en localité, en milieu d'après-midi un jour de semaine, un passage pour piétons situé à proximité d'un parc public. Selon ses propres déclarations, la vitesse mesurée par le radar constituait un pic. En d'autres termes, alors même qu'il s'approchait d'une zone où les risques d'accident augmentaient, l'appelant n'a pas ralenti. La distance de freinage de son véhicule, de plus de 110 m, chiffre que l'appelant a lui-même produit, illustre le risque encouru. Les conditions favorables de la route – tronçon rectiligne, excellente visibilité, bonnes conditions météorologiques, feu de signalisation en phase verte pour le conducteur – et le fait que son passager le renseignait en continu sur les éventuels obstacles ne permettaient pas d'écarter, ni même de minimiser, le risque le plus évident dans une telle configuration, soit qu'un piéton, par exemple un enfant peu attentif aux signaux sonores qui l'entourent, surgisse d'une voiture parquée dans la rue parallèle ou de la sortie du parc des Eaux-Vives et s'élance sur la route. A la vitesse à laquelle il circulait, l'appelant n'aurait jamais été en mesure d'éviter un choc fatal, sauf peut-être en déviant sa trajectoire sur la portion de route dédiée aux véhicules venant en sens inverse, ce qui n'est guère préférable. L'on ne voit pas qu'il puisse être justifié de créer un tel danger pour parer à un risque, très hypothétique, que le conducteur poursuivi porte atteinte à l'intégrité physique d'autrui. Au vu de ce qui précède, c'est à juste titre que le premier juge a écarté l'application de l'art. 100 ch. 4 LCR. 2.3.3. L'excès de vitesse commis par l'appelant, particulièrement important, entre largement dans les prescriptions de l'art. 90 al. 4 let. b LCR, de sorte que les conditions objectives de l'art. 90 al. 3 LCR sont réunies. L'appelant a indiqué qu'il était conscient de rouler à plus de 100 km/h, soit de dépasser la vitesse autorisée d'au moins 50 km/h alors que le tronçon était limité à 50 km/h. Les principes applicables en cas de course d'urgence lui avaient été rappelés, de sorte qu'il savait devoir faire preuve de retenue et était conscient de la nature fondamentale pour la sécurité des règles relatives aux limitations de vitesse. L'appelant les a nonobstant sciemment et délibérément enfreintes. La signalisation lumineuse et sonore du véhicule, les instructions d'un coéquipier, la très faible densité du trafic, les bonnes conditions météorologiques et de visibilité, des compétences spécifiques en tant que conducteur et la qualité d'un véhicule sont des facteurs, qui, considérés ensemble, pourraient peut-être constituer dans certaines circonstances des facteurs permettant de conclure que l'auteur d'un excès de vitesse entrant dans les prévisions de l'art. 90 ch. 4 LCR a exclu, par une imprévoyance coupable, la création d'un grand risque d'accident pouvant entraîner de graves blessures ou la mort. En l'occurrence toutefois, vu l'ampleur de l'excès de vitesse, dont il n'est pas inutile de rappeler qu'il se situe 32 km/h au-dessus de la limite inférieure du cas grave de l'art. 90 ch. 4 let. b LCR, il y a lieu de retenir que l'appelant a accepté de courir un grand risque d'accident pouvant entraîner de graves blessures ou la mort. Le but poursuivi, certes louable, n'est pas pertinent pour déterminer ce dont l'appelant s'est accommodé. Les conditions de l'art. 90 al. 3 LCR sont réalisées. Le jugement entrepris sera par conséquent confirmé et l'appel rejeté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3.2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3.3</w:t>
      </w:r>
    </w:p>
    <w:p>
      <w:r>
        <w:t>En l'espèce, l'appelant a commis un considérable excès de vitesse en ville, alors qu'il savait plus que quiconque du fait de sa profession les risques engendrés par la vitesse. Le seuil du cas grave visé à l'art. 90 al. 4 let. b LCR a largement été dépassé. Le but de son intervention est en soi louable, mais ne justifie nullement son comportement. Il est grave que malgré sa formation et ses précédents administratifs, l'appelant n'ait pas hésité une seule seconde à dépasser aussi massivement les vitesses autorisées. Ses raisons d'agir de la sorte demeurent indécises ; un goût pour la vitesse n'est pas exclu. La faute est importante. Dans la mesure où l'excès de vitesse ne pouvait en tant que tel être contesté, la collaboration à la procédure ne révèle rien de significatif. La prise de conscience est médiocre. L'appelant s'entête dans ses explications et persiste à considérer qu'il peut être justifié de rouler à près de 140 km/h en ville. L'appelant n'a pas d'antécédent judiciaire, ce qui est un facteur neutre sur la fixation de la peine. La culpabilité de l'appelant est importante, ce qui exclut l'exemption de peine, quelles que soient au demeurant les conséquences de l'acte. La CPAR estime qu'il n'y a pas lieu d'atténuer la peine comme l'autorise désormais l'art. 100 ch. 4 LCR, le principe de proportionnalité ayant été gravement méconnu par l'appelant. Au vu de ce qui précède, il convient de confirmer la peine privative de liberté d'un an prononcée par le premier juge et de rejeter l'appel. Le bénéfice du sursis, dont les conditions sont réalisées, est acquis à l'appelant (art. 391 al. 2 CPP).</w:t>
      </w:r>
    </w:p>
    <w:p>
      <w:r>
        <w:rPr>
          <w:b/>
        </w:rPr>
        <w:t>E. 4</w:t>
      </w:r>
    </w:p>
    <w:p>
      <w:r>
        <w:t>2. Les conclusions en indemnisation de l'appelant seront rejetées (art. 429 al. 1 let. a et 436 al. 2 CPP a contrario ), étant au surplus relevé que ses frais de défense ont déjà été pris en charge par l'Etat. * * * * *</w:t>
      </w:r>
    </w:p>
    <w:p>
      <w:r>
        <w:rPr>
          <w:b/>
        </w:rPr>
        <w:t>E. 4.1</w:t>
      </w:r>
    </w:p>
    <w:p>
      <w:r>
        <w:t>L'appelant, qui succombe, supportera les frais de la procédure d'appel, comprenant un émolument de jugement de CHF 2'000.- (art. 428 al. 1 CPP ; art. 14 al. 1 let. e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